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584D" w:rsidRDefault="0067584D" w:rsidP="00A37162">
      <w:pPr>
        <w:autoSpaceDE w:val="0"/>
        <w:autoSpaceDN w:val="0"/>
        <w:adjustRightInd w:val="0"/>
        <w:spacing w:after="310" w:line="218" w:lineRule="atLeast"/>
        <w:ind w:hanging="643"/>
        <w:rPr>
          <w:rFonts w:ascii="BODOEF+TimesNewRoman,Bold" w:hAnsi="BODOEF+TimesNewRoman,Bold" w:cs="BODOEF+TimesNewRoman,Bold"/>
          <w:b/>
          <w:bCs/>
          <w:color w:val="000000"/>
          <w:sz w:val="20"/>
          <w:szCs w:val="20"/>
        </w:rPr>
      </w:pPr>
    </w:p>
    <w:p w:rsidR="0067584D" w:rsidRPr="0067584D" w:rsidRDefault="0067584D" w:rsidP="0067584D">
      <w:pPr>
        <w:autoSpaceDE w:val="0"/>
        <w:autoSpaceDN w:val="0"/>
        <w:adjustRightInd w:val="0"/>
        <w:spacing w:after="0" w:line="240" w:lineRule="auto"/>
        <w:rPr>
          <w:rFonts w:ascii="AKDJAD+TimesNewRoman,Bold" w:hAnsi="AKDJAD+TimesNewRoman,Bold" w:cs="AKDJAD+TimesNewRoman,Bold"/>
          <w:color w:val="000000"/>
          <w:sz w:val="24"/>
          <w:szCs w:val="24"/>
        </w:rPr>
      </w:pPr>
    </w:p>
    <w:p w:rsidR="0067584D" w:rsidRPr="0067584D" w:rsidRDefault="0067584D" w:rsidP="0067584D">
      <w:pPr>
        <w:autoSpaceDE w:val="0"/>
        <w:autoSpaceDN w:val="0"/>
        <w:adjustRightInd w:val="0"/>
        <w:spacing w:after="1152" w:line="251" w:lineRule="atLeast"/>
        <w:jc w:val="both"/>
        <w:rPr>
          <w:rFonts w:ascii="AKDJAD+TimesNewRoman,Bold" w:hAnsi="AKDJAD+TimesNewRoman,Bold" w:cs="AKDJAD+TimesNewRoman,Bold"/>
          <w:b/>
          <w:bCs/>
          <w:color w:val="000000"/>
          <w:sz w:val="20"/>
          <w:szCs w:val="20"/>
        </w:rPr>
      </w:pPr>
      <w:r w:rsidRPr="0067584D">
        <w:rPr>
          <w:rFonts w:ascii="AKDJAD+TimesNewRoman,Bold" w:hAnsi="AKDJAD+TimesNewRoman,Bold"/>
          <w:sz w:val="24"/>
          <w:szCs w:val="24"/>
        </w:rPr>
        <w:t xml:space="preserve"> </w:t>
      </w:r>
      <w:r w:rsidRPr="0067584D">
        <w:rPr>
          <w:rFonts w:ascii="AKDJAD+TimesNewRoman,Bold" w:hAnsi="AKDJAD+TimesNewRoman,Bold" w:cs="AKDJAD+TimesNewRoman,Bold"/>
          <w:b/>
          <w:bCs/>
          <w:color w:val="000000"/>
          <w:sz w:val="20"/>
          <w:szCs w:val="20"/>
        </w:rPr>
        <w:t xml:space="preserve">METHODS FOR THE DETERMINATION OF TOTAL ORGANIC CARBON (TOC) IN SOILS AND SEDIMENTS </w:t>
      </w:r>
      <w:r w:rsidRPr="0067584D">
        <w:rPr>
          <w:rFonts w:ascii="AKDJCD+TimesNewRoman" w:hAnsi="AKDJCD+TimesNewRoman" w:cs="AKDJCD+TimesNewRoman"/>
          <w:color w:val="000000"/>
          <w:sz w:val="20"/>
          <w:szCs w:val="20"/>
        </w:rPr>
        <w:t xml:space="preserve">Brian A. Schumacher, Ph.D. United States Environmental Protection Agency Environmental Sciences Division National Exposure Research Laboratory </w:t>
      </w:r>
    </w:p>
    <w:p w:rsidR="0067584D" w:rsidRDefault="0067584D" w:rsidP="0067584D">
      <w:pPr>
        <w:autoSpaceDE w:val="0"/>
        <w:autoSpaceDN w:val="0"/>
        <w:adjustRightInd w:val="0"/>
        <w:spacing w:after="1032" w:line="256" w:lineRule="atLeast"/>
        <w:jc w:val="center"/>
        <w:rPr>
          <w:rFonts w:ascii="AKDJCD+TimesNewRoman" w:hAnsi="AKDJCD+TimesNewRoman" w:cs="AKDJCD+TimesNewRoman"/>
          <w:color w:val="000000"/>
          <w:sz w:val="20"/>
          <w:szCs w:val="20"/>
          <w:lang w:val="es-ES"/>
        </w:rPr>
      </w:pPr>
      <w:r w:rsidRPr="0067584D">
        <w:rPr>
          <w:rFonts w:ascii="AKDJCD+TimesNewRoman" w:hAnsi="AKDJCD+TimesNewRoman" w:cs="AKDJCD+TimesNewRoman"/>
          <w:color w:val="000000"/>
          <w:sz w:val="20"/>
          <w:szCs w:val="20"/>
          <w:lang w:val="es-ES"/>
        </w:rPr>
        <w:t xml:space="preserve">P.O. Box 93478 Las </w:t>
      </w:r>
      <w:proofErr w:type="spellStart"/>
      <w:r w:rsidRPr="0067584D">
        <w:rPr>
          <w:rFonts w:ascii="AKDJCD+TimesNewRoman" w:hAnsi="AKDJCD+TimesNewRoman" w:cs="AKDJCD+TimesNewRoman"/>
          <w:color w:val="000000"/>
          <w:sz w:val="20"/>
          <w:szCs w:val="20"/>
          <w:lang w:val="es-ES"/>
        </w:rPr>
        <w:t>Vegas</w:t>
      </w:r>
      <w:proofErr w:type="gramStart"/>
      <w:r w:rsidRPr="0067584D">
        <w:rPr>
          <w:rFonts w:ascii="AKDJCD+TimesNewRoman" w:hAnsi="AKDJCD+TimesNewRoman" w:cs="AKDJCD+TimesNewRoman"/>
          <w:color w:val="000000"/>
          <w:sz w:val="20"/>
          <w:szCs w:val="20"/>
          <w:lang w:val="es-ES"/>
        </w:rPr>
        <w:t>,NV</w:t>
      </w:r>
      <w:proofErr w:type="spellEnd"/>
      <w:proofErr w:type="gramEnd"/>
      <w:r w:rsidRPr="0067584D">
        <w:rPr>
          <w:rFonts w:ascii="AKDJCD+TimesNewRoman" w:hAnsi="AKDJCD+TimesNewRoman" w:cs="AKDJCD+TimesNewRoman"/>
          <w:color w:val="000000"/>
          <w:sz w:val="20"/>
          <w:szCs w:val="20"/>
          <w:lang w:val="es-ES"/>
        </w:rPr>
        <w:t xml:space="preserve"> 89193-3478 </w:t>
      </w:r>
    </w:p>
    <w:p w:rsidR="0067584D" w:rsidRDefault="0067584D" w:rsidP="0067584D">
      <w:pPr>
        <w:autoSpaceDE w:val="0"/>
        <w:autoSpaceDN w:val="0"/>
        <w:adjustRightInd w:val="0"/>
        <w:spacing w:after="1032" w:line="256" w:lineRule="atLeast"/>
        <w:jc w:val="center"/>
        <w:rPr>
          <w:rFonts w:ascii="BODOEF+TimesNewRoman,Bold" w:hAnsi="BODOEF+TimesNewRoman,Bold" w:cs="BODOEF+TimesNewRoman,Bold"/>
          <w:b/>
          <w:bCs/>
          <w:color w:val="000000"/>
          <w:sz w:val="20"/>
          <w:szCs w:val="20"/>
        </w:rPr>
      </w:pPr>
      <w:r w:rsidRPr="0067584D">
        <w:rPr>
          <w:rFonts w:ascii="AKDJCD+TimesNewRoman" w:hAnsi="AKDJCD+TimesNewRoman" w:cs="AKDJCD+TimesNewRoman"/>
          <w:color w:val="000000"/>
          <w:sz w:val="20"/>
          <w:szCs w:val="20"/>
        </w:rPr>
        <w:t>Ecological Risk Assessment Support Center Office of</w:t>
      </w:r>
    </w:p>
    <w:p w:rsidR="00A37162" w:rsidRPr="00A37162" w:rsidRDefault="00A37162" w:rsidP="000A79BB">
      <w:pPr>
        <w:autoSpaceDE w:val="0"/>
        <w:autoSpaceDN w:val="0"/>
        <w:adjustRightInd w:val="0"/>
        <w:spacing w:after="310" w:line="218" w:lineRule="atLeast"/>
        <w:jc w:val="both"/>
        <w:rPr>
          <w:rFonts w:ascii="BODOEF+TimesNewRoman,Bold" w:hAnsi="BODOEF+TimesNewRoman,Bold" w:cs="BODOEF+TimesNewRoman,Bold"/>
          <w:color w:val="000000"/>
          <w:sz w:val="20"/>
          <w:szCs w:val="20"/>
        </w:rPr>
      </w:pPr>
      <w:r w:rsidRPr="00A37162">
        <w:rPr>
          <w:rFonts w:ascii="BODOEF+TimesNewRoman,Bold" w:hAnsi="BODOEF+TimesNewRoman,Bold" w:cs="BODOEF+TimesNewRoman,Bold"/>
          <w:b/>
          <w:bCs/>
          <w:color w:val="000000"/>
          <w:sz w:val="20"/>
          <w:szCs w:val="20"/>
        </w:rPr>
        <w:t xml:space="preserve">4.3. SEMI-QUANTITATIVE METHODS FOR THE DETERMINATION OF ORGANIC MATTER </w:t>
      </w:r>
    </w:p>
    <w:p w:rsidR="00A37162" w:rsidRPr="000A79BB" w:rsidRDefault="00A37162" w:rsidP="000A79BB">
      <w:pPr>
        <w:autoSpaceDE w:val="0"/>
        <w:autoSpaceDN w:val="0"/>
        <w:adjustRightInd w:val="0"/>
        <w:spacing w:after="0" w:line="218" w:lineRule="atLeast"/>
        <w:jc w:val="both"/>
        <w:rPr>
          <w:rFonts w:cstheme="minorHAnsi"/>
          <w:color w:val="000000"/>
          <w:sz w:val="20"/>
          <w:szCs w:val="20"/>
        </w:rPr>
      </w:pPr>
      <w:r w:rsidRPr="000A79BB">
        <w:rPr>
          <w:rFonts w:cstheme="minorHAnsi"/>
          <w:color w:val="000000"/>
          <w:sz w:val="20"/>
          <w:szCs w:val="20"/>
        </w:rPr>
        <w:t xml:space="preserve">There are two primary methods for the semi-quantitative estimation of organic matter in soils </w:t>
      </w:r>
    </w:p>
    <w:p w:rsidR="00A37162" w:rsidRPr="000A79BB" w:rsidRDefault="00A37162" w:rsidP="000A79BB">
      <w:pPr>
        <w:autoSpaceDE w:val="0"/>
        <w:autoSpaceDN w:val="0"/>
        <w:adjustRightInd w:val="0"/>
        <w:spacing w:after="240" w:line="253" w:lineRule="atLeast"/>
        <w:jc w:val="both"/>
        <w:rPr>
          <w:rFonts w:cstheme="minorHAnsi"/>
          <w:color w:val="000000"/>
          <w:sz w:val="20"/>
          <w:szCs w:val="20"/>
        </w:rPr>
      </w:pPr>
      <w:proofErr w:type="gramStart"/>
      <w:r w:rsidRPr="000A79BB">
        <w:rPr>
          <w:rFonts w:cstheme="minorHAnsi"/>
          <w:color w:val="000000"/>
          <w:sz w:val="20"/>
          <w:szCs w:val="20"/>
        </w:rPr>
        <w:t>and</w:t>
      </w:r>
      <w:proofErr w:type="gramEnd"/>
      <w:r w:rsidRPr="000A79BB">
        <w:rPr>
          <w:rFonts w:cstheme="minorHAnsi"/>
          <w:color w:val="000000"/>
          <w:sz w:val="20"/>
          <w:szCs w:val="20"/>
        </w:rPr>
        <w:t xml:space="preserve"> sediments. Organic matter content can be used as a ro</w:t>
      </w:r>
      <w:bookmarkStart w:id="0" w:name="_GoBack"/>
      <w:bookmarkEnd w:id="0"/>
      <w:r w:rsidRPr="000A79BB">
        <w:rPr>
          <w:rFonts w:cstheme="minorHAnsi"/>
          <w:color w:val="000000"/>
          <w:sz w:val="20"/>
          <w:szCs w:val="20"/>
        </w:rPr>
        <w:t xml:space="preserve">ugh estimate of the total organic carbon content. Semi-quantitative methods are based upon the indiscriminant removal of all organic matter followed by gravimetric determination of sample weight loss. The two primary semi-quantitative methods are: (1) loss-on-ignition and (2) hydrogen peroxide digestion. </w:t>
      </w:r>
    </w:p>
    <w:p w:rsidR="00A37162" w:rsidRPr="000A79BB" w:rsidRDefault="00A37162" w:rsidP="000A79BB">
      <w:pPr>
        <w:autoSpaceDE w:val="0"/>
        <w:autoSpaceDN w:val="0"/>
        <w:adjustRightInd w:val="0"/>
        <w:spacing w:after="0" w:line="256" w:lineRule="atLeast"/>
        <w:jc w:val="both"/>
        <w:rPr>
          <w:rFonts w:cstheme="minorHAnsi"/>
          <w:color w:val="000000"/>
          <w:sz w:val="20"/>
          <w:szCs w:val="20"/>
        </w:rPr>
      </w:pPr>
      <w:r w:rsidRPr="000A79BB">
        <w:rPr>
          <w:rFonts w:cstheme="minorHAnsi"/>
          <w:color w:val="000000"/>
          <w:sz w:val="20"/>
          <w:szCs w:val="20"/>
        </w:rPr>
        <w:t xml:space="preserve">The loss-on-ignition (LOI) method for the determination of organic matter involves the </w:t>
      </w:r>
    </w:p>
    <w:p w:rsidR="00A37162" w:rsidRPr="000A79BB" w:rsidRDefault="00A37162" w:rsidP="000A79BB">
      <w:pPr>
        <w:autoSpaceDE w:val="0"/>
        <w:autoSpaceDN w:val="0"/>
        <w:adjustRightInd w:val="0"/>
        <w:spacing w:after="0" w:line="258" w:lineRule="atLeast"/>
        <w:jc w:val="both"/>
        <w:rPr>
          <w:rFonts w:cstheme="minorHAnsi"/>
          <w:color w:val="000000"/>
          <w:sz w:val="20"/>
          <w:szCs w:val="20"/>
        </w:rPr>
      </w:pPr>
      <w:proofErr w:type="gramStart"/>
      <w:r w:rsidRPr="000A79BB">
        <w:rPr>
          <w:rFonts w:cstheme="minorHAnsi"/>
          <w:color w:val="000000"/>
          <w:sz w:val="20"/>
          <w:szCs w:val="20"/>
        </w:rPr>
        <w:t>heated</w:t>
      </w:r>
      <w:proofErr w:type="gramEnd"/>
      <w:r w:rsidRPr="000A79BB">
        <w:rPr>
          <w:rFonts w:cstheme="minorHAnsi"/>
          <w:color w:val="000000"/>
          <w:sz w:val="20"/>
          <w:szCs w:val="20"/>
        </w:rPr>
        <w:t xml:space="preserve"> destruction of all organic matter in the soil or sediment. A known weight of sample is placed in a ceramic crucible (or similar vessel) which is then heated to between 350</w:t>
      </w:r>
      <w:r w:rsidRPr="000A79BB">
        <w:rPr>
          <w:rFonts w:cstheme="minorHAnsi"/>
          <w:color w:val="000000"/>
          <w:position w:val="8"/>
          <w:sz w:val="20"/>
          <w:szCs w:val="20"/>
          <w:vertAlign w:val="superscript"/>
        </w:rPr>
        <w:t xml:space="preserve">0 </w:t>
      </w:r>
      <w:r w:rsidRPr="000A79BB">
        <w:rPr>
          <w:rFonts w:cstheme="minorHAnsi"/>
          <w:color w:val="000000"/>
          <w:sz w:val="20"/>
          <w:szCs w:val="20"/>
        </w:rPr>
        <w:t>and 440</w:t>
      </w:r>
      <w:r w:rsidRPr="000A79BB">
        <w:rPr>
          <w:rFonts w:ascii="Calibri" w:hAnsi="Calibri" w:cs="Calibri"/>
          <w:color w:val="000000"/>
          <w:sz w:val="20"/>
          <w:szCs w:val="20"/>
        </w:rPr>
        <w:t>􀀒</w:t>
      </w:r>
      <w:r w:rsidRPr="000A79BB">
        <w:rPr>
          <w:rFonts w:cstheme="minorHAnsi"/>
          <w:color w:val="000000"/>
          <w:sz w:val="20"/>
          <w:szCs w:val="20"/>
        </w:rPr>
        <w:t>C overnight (</w:t>
      </w:r>
      <w:proofErr w:type="spellStart"/>
      <w:r w:rsidRPr="000A79BB">
        <w:rPr>
          <w:rFonts w:cstheme="minorHAnsi"/>
          <w:color w:val="000000"/>
          <w:sz w:val="20"/>
          <w:szCs w:val="20"/>
        </w:rPr>
        <w:t>Blume</w:t>
      </w:r>
      <w:proofErr w:type="spellEnd"/>
      <w:r w:rsidRPr="000A79BB">
        <w:rPr>
          <w:rFonts w:cstheme="minorHAnsi"/>
          <w:color w:val="000000"/>
          <w:sz w:val="20"/>
          <w:szCs w:val="20"/>
        </w:rPr>
        <w:t xml:space="preserve"> et al., 1990; Nelson and </w:t>
      </w:r>
      <w:proofErr w:type="spellStart"/>
      <w:r w:rsidRPr="000A79BB">
        <w:rPr>
          <w:rFonts w:cstheme="minorHAnsi"/>
          <w:color w:val="000000"/>
          <w:sz w:val="20"/>
          <w:szCs w:val="20"/>
        </w:rPr>
        <w:t>Sommers</w:t>
      </w:r>
      <w:proofErr w:type="spellEnd"/>
      <w:r w:rsidRPr="000A79BB">
        <w:rPr>
          <w:rFonts w:cstheme="minorHAnsi"/>
          <w:color w:val="000000"/>
          <w:sz w:val="20"/>
          <w:szCs w:val="20"/>
        </w:rPr>
        <w:t xml:space="preserve">, 1996; ASTM, 2000). The sample is then cooled in </w:t>
      </w:r>
    </w:p>
    <w:p w:rsidR="00A37162" w:rsidRPr="000A79BB" w:rsidRDefault="00A37162" w:rsidP="000A79BB">
      <w:pPr>
        <w:autoSpaceDE w:val="0"/>
        <w:autoSpaceDN w:val="0"/>
        <w:adjustRightInd w:val="0"/>
        <w:spacing w:after="240" w:line="258" w:lineRule="atLeast"/>
        <w:jc w:val="both"/>
        <w:rPr>
          <w:rFonts w:cstheme="minorHAnsi"/>
          <w:color w:val="000000"/>
          <w:sz w:val="20"/>
          <w:szCs w:val="20"/>
        </w:rPr>
      </w:pPr>
      <w:proofErr w:type="gramStart"/>
      <w:r w:rsidRPr="000A79BB">
        <w:rPr>
          <w:rFonts w:cstheme="minorHAnsi"/>
          <w:color w:val="000000"/>
          <w:sz w:val="20"/>
          <w:szCs w:val="20"/>
        </w:rPr>
        <w:t>a</w:t>
      </w:r>
      <w:proofErr w:type="gramEnd"/>
      <w:r w:rsidRPr="000A79BB">
        <w:rPr>
          <w:rFonts w:cstheme="minorHAnsi"/>
          <w:color w:val="000000"/>
          <w:sz w:val="20"/>
          <w:szCs w:val="20"/>
        </w:rPr>
        <w:t xml:space="preserve"> desiccator and weighed. Organic matter content is calculated as the difference between the initial and final sample weights divided by the initial sample weight times 100%. All weights should be corrected for moisture/water content prior to organic matter content calculation. </w:t>
      </w:r>
    </w:p>
    <w:p w:rsidR="00A37162" w:rsidRPr="000A79BB" w:rsidRDefault="00A37162" w:rsidP="000A79BB">
      <w:pPr>
        <w:autoSpaceDE w:val="0"/>
        <w:autoSpaceDN w:val="0"/>
        <w:adjustRightInd w:val="0"/>
        <w:spacing w:after="240" w:line="258" w:lineRule="atLeast"/>
        <w:jc w:val="both"/>
        <w:rPr>
          <w:rFonts w:cstheme="minorHAnsi"/>
          <w:color w:val="000000"/>
          <w:sz w:val="20"/>
          <w:szCs w:val="20"/>
        </w:rPr>
      </w:pPr>
      <w:r w:rsidRPr="000A79BB">
        <w:rPr>
          <w:rFonts w:cstheme="minorHAnsi"/>
          <w:color w:val="000000"/>
          <w:sz w:val="20"/>
          <w:szCs w:val="20"/>
        </w:rPr>
        <w:t>LOI method temperatures should be maintained below 440</w:t>
      </w:r>
      <w:r w:rsidRPr="000A79BB">
        <w:rPr>
          <w:rFonts w:ascii="Calibri" w:hAnsi="Calibri" w:cs="Calibri"/>
          <w:color w:val="000000"/>
          <w:sz w:val="20"/>
          <w:szCs w:val="20"/>
        </w:rPr>
        <w:t>􀀒</w:t>
      </w:r>
      <w:r w:rsidRPr="000A79BB">
        <w:rPr>
          <w:rFonts w:cstheme="minorHAnsi"/>
          <w:color w:val="000000"/>
          <w:sz w:val="20"/>
          <w:szCs w:val="20"/>
        </w:rPr>
        <w:t xml:space="preserve">C to avoid the destruction of any inorganic carbonates that may be present in the sample. One concern with this technique is that some clay minerals will lose structural water (i.e., water that is part of their matrix) or hydroxyl groups at the temperatures used to combust the samples. The structural water loss will increase the total sample weight loss leading to an overestimation in organic matter content. One possible means to avoid this concern is through the pre-treatment of the sample via removal of the mineral matter using </w:t>
      </w:r>
      <w:proofErr w:type="spellStart"/>
      <w:r w:rsidRPr="000A79BB">
        <w:rPr>
          <w:rFonts w:cstheme="minorHAnsi"/>
          <w:color w:val="000000"/>
          <w:sz w:val="20"/>
          <w:szCs w:val="20"/>
        </w:rPr>
        <w:t>HCl</w:t>
      </w:r>
      <w:proofErr w:type="spellEnd"/>
      <w:r w:rsidRPr="000A79BB">
        <w:rPr>
          <w:rFonts w:cstheme="minorHAnsi"/>
          <w:color w:val="000000"/>
          <w:sz w:val="20"/>
          <w:szCs w:val="20"/>
        </w:rPr>
        <w:t xml:space="preserve"> and HF acids (Rather, 1917). However, the use of HCI may dissolve part of the organic matter leading to an underestimation of the organic matter content and the potential use of a correction factor. Interestingly, ASTM method D 2974 allows for </w:t>
      </w:r>
      <w:proofErr w:type="spellStart"/>
      <w:r w:rsidRPr="000A79BB">
        <w:rPr>
          <w:rFonts w:cstheme="minorHAnsi"/>
          <w:color w:val="000000"/>
          <w:sz w:val="20"/>
          <w:szCs w:val="20"/>
        </w:rPr>
        <w:t>ashing</w:t>
      </w:r>
      <w:proofErr w:type="spellEnd"/>
      <w:r w:rsidRPr="000A79BB">
        <w:rPr>
          <w:rFonts w:cstheme="minorHAnsi"/>
          <w:color w:val="000000"/>
          <w:sz w:val="20"/>
          <w:szCs w:val="20"/>
        </w:rPr>
        <w:t xml:space="preserve"> the sample at 750</w:t>
      </w:r>
      <w:r w:rsidRPr="000A79BB">
        <w:rPr>
          <w:rFonts w:ascii="Calibri" w:hAnsi="Calibri" w:cs="Calibri"/>
          <w:color w:val="000000"/>
          <w:sz w:val="20"/>
          <w:szCs w:val="20"/>
        </w:rPr>
        <w:t>􀀒</w:t>
      </w:r>
      <w:r w:rsidRPr="000A79BB">
        <w:rPr>
          <w:rFonts w:cstheme="minorHAnsi"/>
          <w:color w:val="000000"/>
          <w:sz w:val="20"/>
          <w:szCs w:val="20"/>
        </w:rPr>
        <w:t xml:space="preserve">C for peats and other organic soils, such as organic clays, silts, and mucks (ASTM, 2000) presumably based on the assumption that no carbonates and little to no mineral matter are present in the sample that could influence the resultant organic matter content. </w:t>
      </w:r>
    </w:p>
    <w:p w:rsidR="00A37162" w:rsidRPr="000A79BB" w:rsidRDefault="00A37162" w:rsidP="000A79BB">
      <w:pPr>
        <w:pStyle w:val="CM31"/>
        <w:spacing w:after="240" w:line="258" w:lineRule="atLeast"/>
        <w:jc w:val="both"/>
        <w:rPr>
          <w:rFonts w:asciiTheme="minorHAnsi" w:hAnsiTheme="minorHAnsi" w:cstheme="minorHAnsi"/>
          <w:color w:val="000000"/>
          <w:sz w:val="20"/>
          <w:szCs w:val="20"/>
        </w:rPr>
      </w:pPr>
      <w:r w:rsidRPr="000A79BB">
        <w:rPr>
          <w:rFonts w:asciiTheme="minorHAnsi" w:hAnsiTheme="minorHAnsi" w:cstheme="minorHAnsi"/>
          <w:color w:val="000000"/>
          <w:sz w:val="20"/>
          <w:szCs w:val="20"/>
        </w:rPr>
        <w:t xml:space="preserve">The hydrogen peroxide (H202) digestion method destroys the organic matter in the sample through oxidation. The hydrogen peroxide digestion involves the addition of concentrated hydrogen peroxide (30% or 50%) to a known </w:t>
      </w:r>
      <w:r w:rsidRPr="000A79BB">
        <w:rPr>
          <w:rFonts w:asciiTheme="minorHAnsi" w:hAnsiTheme="minorHAnsi" w:cstheme="minorHAnsi"/>
          <w:color w:val="000000"/>
          <w:sz w:val="20"/>
          <w:szCs w:val="20"/>
        </w:rPr>
        <w:lastRenderedPageBreak/>
        <w:t>weight of soil or sediment. H202 is continually added to the sample until sample frothing ceases. The samples may be heated to 90</w:t>
      </w:r>
      <w:r w:rsidRPr="000A79BB">
        <w:rPr>
          <w:rFonts w:ascii="Calibri" w:hAnsi="Calibri" w:cs="Calibri"/>
          <w:color w:val="000000"/>
          <w:sz w:val="20"/>
          <w:szCs w:val="20"/>
        </w:rPr>
        <w:t>􀀒</w:t>
      </w:r>
      <w:r w:rsidRPr="000A79BB">
        <w:rPr>
          <w:rFonts w:asciiTheme="minorHAnsi" w:hAnsiTheme="minorHAnsi" w:cstheme="minorHAnsi"/>
          <w:color w:val="000000"/>
          <w:sz w:val="20"/>
          <w:szCs w:val="20"/>
        </w:rPr>
        <w:t>C during peroxide addition to increase the speed and completeness of the peroxide digestion. Care must be taken to avoid excessive frothing and sample loss over the lip of the digestion container. Once the digestion process is completed, the sample is dried at 105</w:t>
      </w:r>
      <w:r w:rsidRPr="000A79BB">
        <w:rPr>
          <w:rFonts w:asciiTheme="minorHAnsi" w:hAnsiTheme="minorHAnsi" w:cstheme="minorHAnsi"/>
          <w:color w:val="000000"/>
          <w:position w:val="8"/>
          <w:sz w:val="20"/>
          <w:szCs w:val="20"/>
          <w:vertAlign w:val="superscript"/>
        </w:rPr>
        <w:t>0</w:t>
      </w:r>
      <w:r w:rsidRPr="000A79BB">
        <w:rPr>
          <w:rFonts w:asciiTheme="minorHAnsi" w:hAnsiTheme="minorHAnsi" w:cstheme="minorHAnsi"/>
          <w:color w:val="000000"/>
          <w:sz w:val="20"/>
          <w:szCs w:val="20"/>
        </w:rPr>
        <w:t xml:space="preserve">C, cooled in a desiccator, and weighed. Organic matter is determined gravimetrically and calculated as the difference between the initial and final sample weights divided by the initial sample weight times 100%. All weights should be corrected for moisture/water content prior to organic matter content calculation. </w:t>
      </w:r>
    </w:p>
    <w:p w:rsidR="00A37162" w:rsidRPr="000A79BB" w:rsidRDefault="00A37162" w:rsidP="000A79BB">
      <w:pPr>
        <w:pStyle w:val="CM31"/>
        <w:spacing w:after="240" w:line="258" w:lineRule="atLeast"/>
        <w:jc w:val="both"/>
        <w:rPr>
          <w:rFonts w:asciiTheme="minorHAnsi" w:hAnsiTheme="minorHAnsi" w:cstheme="minorHAnsi"/>
          <w:color w:val="000000"/>
          <w:sz w:val="20"/>
          <w:szCs w:val="20"/>
        </w:rPr>
      </w:pPr>
      <w:r w:rsidRPr="000A79BB">
        <w:rPr>
          <w:rFonts w:asciiTheme="minorHAnsi" w:hAnsiTheme="minorHAnsi" w:cstheme="minorHAnsi"/>
          <w:color w:val="000000"/>
          <w:sz w:val="20"/>
          <w:szCs w:val="20"/>
        </w:rPr>
        <w:t>The hydrogen peroxide digestion method has several limitations that markedly reduce its effectiveness to quantify organic matter and TOC and, a</w:t>
      </w:r>
      <w:proofErr w:type="gramStart"/>
      <w:r w:rsidRPr="000A79BB">
        <w:rPr>
          <w:rFonts w:asciiTheme="minorHAnsi" w:hAnsiTheme="minorHAnsi" w:cstheme="minorHAnsi"/>
          <w:color w:val="000000"/>
          <w:sz w:val="20"/>
          <w:szCs w:val="20"/>
        </w:rPr>
        <w:t>..</w:t>
      </w:r>
      <w:proofErr w:type="gramEnd"/>
      <w:r w:rsidRPr="000A79BB">
        <w:rPr>
          <w:rFonts w:asciiTheme="minorHAnsi" w:hAnsiTheme="minorHAnsi" w:cstheme="minorHAnsi"/>
          <w:color w:val="000000"/>
          <w:sz w:val="20"/>
          <w:szCs w:val="20"/>
        </w:rPr>
        <w:t xml:space="preserve"> </w:t>
      </w:r>
      <w:proofErr w:type="gramStart"/>
      <w:r w:rsidRPr="000A79BB">
        <w:rPr>
          <w:rFonts w:asciiTheme="minorHAnsi" w:hAnsiTheme="minorHAnsi" w:cstheme="minorHAnsi"/>
          <w:color w:val="000000"/>
          <w:sz w:val="20"/>
          <w:szCs w:val="20"/>
        </w:rPr>
        <w:t>such</w:t>
      </w:r>
      <w:proofErr w:type="gramEnd"/>
      <w:r w:rsidRPr="000A79BB">
        <w:rPr>
          <w:rFonts w:asciiTheme="minorHAnsi" w:hAnsiTheme="minorHAnsi" w:cstheme="minorHAnsi"/>
          <w:color w:val="000000"/>
          <w:sz w:val="20"/>
          <w:szCs w:val="20"/>
        </w:rPr>
        <w:t xml:space="preserve">, the method is semi-quantitative at best. The major limitation of the peroxide digestion technique is that the oxidation of the organic matter is incomplete and the extent of oxidation varies markedly from one soil or sediment to another (Robinson, 1927). Another potential source for error with this method is the loss of volatile organic compounds if samples are </w:t>
      </w:r>
      <w:proofErr w:type="gramStart"/>
      <w:r w:rsidRPr="000A79BB">
        <w:rPr>
          <w:rFonts w:asciiTheme="minorHAnsi" w:hAnsiTheme="minorHAnsi" w:cstheme="minorHAnsi"/>
          <w:color w:val="000000"/>
          <w:sz w:val="20"/>
          <w:szCs w:val="20"/>
        </w:rPr>
        <w:t>air- or oven-dried</w:t>
      </w:r>
      <w:proofErr w:type="gramEnd"/>
      <w:r w:rsidRPr="000A79BB">
        <w:rPr>
          <w:rFonts w:asciiTheme="minorHAnsi" w:hAnsiTheme="minorHAnsi" w:cstheme="minorHAnsi"/>
          <w:color w:val="000000"/>
          <w:sz w:val="20"/>
          <w:szCs w:val="20"/>
        </w:rPr>
        <w:t xml:space="preserve"> prior to digestion. It should be noted that this method is a common pre-treatment during the determination of particle-size distributions in soils and sediments since organic matter is known to bind particles together. </w:t>
      </w:r>
    </w:p>
    <w:p w:rsidR="001158FB" w:rsidRPr="000A79BB" w:rsidRDefault="00A37162" w:rsidP="000A79BB">
      <w:pPr>
        <w:jc w:val="both"/>
        <w:rPr>
          <w:sz w:val="20"/>
          <w:szCs w:val="20"/>
        </w:rPr>
      </w:pPr>
      <w:r w:rsidRPr="000A79BB">
        <w:rPr>
          <w:rFonts w:cs="AMEJML+TimesNewRoman"/>
          <w:color w:val="000000"/>
          <w:sz w:val="20"/>
          <w:szCs w:val="20"/>
        </w:rPr>
        <w:t>Since these two methods determine the organic matter content in the soil or sediment, it is necessary to convert the organic matter content to total organic carbon content. Traditionally, for soils, a conversion factor of 1.724 has been used to convert organic matter to organic carbon based on the assumption that organic matter contains 58% organic C (i.e., g organic matter/l .724 = g organic C</w:t>
      </w:r>
      <w:proofErr w:type="gramStart"/>
      <w:r w:rsidRPr="000A79BB">
        <w:rPr>
          <w:rFonts w:cs="AMEJML+TimesNewRoman"/>
          <w:color w:val="000000"/>
          <w:sz w:val="20"/>
          <w:szCs w:val="20"/>
        </w:rPr>
        <w:t>)(</w:t>
      </w:r>
      <w:proofErr w:type="gramEnd"/>
      <w:r w:rsidRPr="000A79BB">
        <w:rPr>
          <w:rFonts w:cs="AMEJML+TimesNewRoman"/>
          <w:color w:val="000000"/>
          <w:sz w:val="20"/>
          <w:szCs w:val="20"/>
        </w:rPr>
        <w:t xml:space="preserve">Nelson and </w:t>
      </w:r>
      <w:proofErr w:type="spellStart"/>
      <w:r w:rsidRPr="000A79BB">
        <w:rPr>
          <w:rFonts w:cs="AMEJML+TimesNewRoman"/>
          <w:color w:val="000000"/>
          <w:sz w:val="20"/>
          <w:szCs w:val="20"/>
        </w:rPr>
        <w:t>Sommers</w:t>
      </w:r>
      <w:proofErr w:type="spellEnd"/>
      <w:r w:rsidRPr="000A79BB">
        <w:rPr>
          <w:rFonts w:cs="AMEJML+TimesNewRoman"/>
          <w:color w:val="000000"/>
          <w:sz w:val="20"/>
          <w:szCs w:val="20"/>
        </w:rPr>
        <w:t xml:space="preserve">, 1996). However, there is no universal conversion factor as the factor varies from soil to soil, from soil horizon to soil horizon within the same soil, and will vary depending upon the type of organic matter present in the sample. Conversion factors range from 1.724 to as high as 2.5 (Nelson and </w:t>
      </w:r>
      <w:proofErr w:type="spellStart"/>
      <w:r w:rsidRPr="000A79BB">
        <w:rPr>
          <w:rFonts w:cs="AMEJML+TimesNewRoman"/>
          <w:color w:val="000000"/>
          <w:sz w:val="20"/>
          <w:szCs w:val="20"/>
        </w:rPr>
        <w:t>Sommers</w:t>
      </w:r>
      <w:proofErr w:type="spellEnd"/>
      <w:r w:rsidRPr="000A79BB">
        <w:rPr>
          <w:rFonts w:cs="AMEJML+TimesNewRoman"/>
          <w:color w:val="000000"/>
          <w:sz w:val="20"/>
          <w:szCs w:val="20"/>
        </w:rPr>
        <w:t>, 1996; Soil Survey Laboratory Methods Manual, 1992). Broadbent (1953) recommended the use of 1.9 and 2.5 to convert organic matter to total organic carbon for surface and subsurface soils, respectively.</w:t>
      </w:r>
    </w:p>
    <w:sectPr w:rsidR="001158FB" w:rsidRPr="000A79BB" w:rsidSect="001158F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MEJML+TimesNewRoman">
    <w:altName w:val="Times New Roman"/>
    <w:panose1 w:val="00000000000000000000"/>
    <w:charset w:val="00"/>
    <w:family w:val="roman"/>
    <w:notTrueType/>
    <w:pitch w:val="default"/>
    <w:sig w:usb0="00000003" w:usb1="00000000" w:usb2="00000000" w:usb3="00000000" w:csb0="00000001" w:csb1="00000000"/>
  </w:font>
  <w:font w:name="BODOEF+TimesNewRoman,Bold">
    <w:altName w:val="Times New Roman"/>
    <w:panose1 w:val="00000000000000000000"/>
    <w:charset w:val="00"/>
    <w:family w:val="roman"/>
    <w:notTrueType/>
    <w:pitch w:val="default"/>
    <w:sig w:usb0="00000003" w:usb1="00000000" w:usb2="00000000" w:usb3="00000000" w:csb0="00000001" w:csb1="00000000"/>
  </w:font>
  <w:font w:name="AKDJAD+TimesNewRoman,Bold">
    <w:altName w:val="Times New Roman"/>
    <w:panose1 w:val="00000000000000000000"/>
    <w:charset w:val="00"/>
    <w:family w:val="roman"/>
    <w:notTrueType/>
    <w:pitch w:val="default"/>
    <w:sig w:usb0="00000003" w:usb1="00000000" w:usb2="00000000" w:usb3="00000000" w:csb0="00000001" w:csb1="00000000"/>
  </w:font>
  <w:font w:name="AKDJCD+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applyBreakingRules/>
    <w:useFELayout/>
    <w:compatSetting w:name="compatibilityMode" w:uri="http://schemas.microsoft.com/office/word" w:val="12"/>
  </w:compat>
  <w:rsids>
    <w:rsidRoot w:val="00A37162"/>
    <w:rsid w:val="000A79BB"/>
    <w:rsid w:val="001158FB"/>
    <w:rsid w:val="00287BF9"/>
    <w:rsid w:val="004803A7"/>
    <w:rsid w:val="0067584D"/>
    <w:rsid w:val="00A37162"/>
    <w:rsid w:val="00DE66C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58F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M31">
    <w:name w:val="CM31"/>
    <w:basedOn w:val="Normal"/>
    <w:next w:val="Normal"/>
    <w:uiPriority w:val="99"/>
    <w:rsid w:val="00A37162"/>
    <w:pPr>
      <w:autoSpaceDE w:val="0"/>
      <w:autoSpaceDN w:val="0"/>
      <w:adjustRightInd w:val="0"/>
      <w:spacing w:after="0" w:line="240" w:lineRule="auto"/>
    </w:pPr>
    <w:rPr>
      <w:rFonts w:ascii="AMEJML+TimesNewRoman" w:hAnsi="AMEJML+TimesNewRoman"/>
      <w:sz w:val="24"/>
      <w:szCs w:val="24"/>
    </w:rPr>
  </w:style>
  <w:style w:type="paragraph" w:customStyle="1" w:styleId="Default">
    <w:name w:val="Default"/>
    <w:rsid w:val="00A37162"/>
    <w:pPr>
      <w:autoSpaceDE w:val="0"/>
      <w:autoSpaceDN w:val="0"/>
      <w:adjustRightInd w:val="0"/>
      <w:spacing w:after="0" w:line="240" w:lineRule="auto"/>
    </w:pPr>
    <w:rPr>
      <w:rFonts w:ascii="BODOEF+TimesNewRoman,Bold" w:hAnsi="BODOEF+TimesNewRoman,Bold" w:cs="BODOEF+TimesNewRoman,Bold"/>
      <w:color w:val="000000"/>
      <w:sz w:val="24"/>
      <w:szCs w:val="24"/>
    </w:rPr>
  </w:style>
  <w:style w:type="paragraph" w:customStyle="1" w:styleId="CM37">
    <w:name w:val="CM37"/>
    <w:basedOn w:val="Default"/>
    <w:next w:val="Default"/>
    <w:uiPriority w:val="99"/>
    <w:rsid w:val="00A37162"/>
    <w:rPr>
      <w:rFonts w:cstheme="minorBidi"/>
      <w:color w:val="auto"/>
    </w:rPr>
  </w:style>
  <w:style w:type="paragraph" w:customStyle="1" w:styleId="CM1">
    <w:name w:val="CM1"/>
    <w:basedOn w:val="Default"/>
    <w:next w:val="Default"/>
    <w:uiPriority w:val="99"/>
    <w:rsid w:val="00A37162"/>
    <w:pPr>
      <w:spacing w:line="256" w:lineRule="atLeast"/>
    </w:pPr>
    <w:rPr>
      <w:rFonts w:cstheme="minorBidi"/>
      <w:color w:val="auto"/>
    </w:rPr>
  </w:style>
  <w:style w:type="paragraph" w:customStyle="1" w:styleId="CM9">
    <w:name w:val="CM9"/>
    <w:basedOn w:val="Default"/>
    <w:next w:val="Default"/>
    <w:uiPriority w:val="99"/>
    <w:rsid w:val="00A37162"/>
    <w:pPr>
      <w:spacing w:line="258" w:lineRule="atLeast"/>
    </w:pPr>
    <w:rPr>
      <w:rFonts w:cstheme="minorBidi"/>
      <w:color w:val="auto"/>
    </w:rPr>
  </w:style>
  <w:style w:type="paragraph" w:customStyle="1" w:styleId="CM28">
    <w:name w:val="CM28"/>
    <w:basedOn w:val="Default"/>
    <w:next w:val="Default"/>
    <w:uiPriority w:val="99"/>
    <w:rsid w:val="0067584D"/>
    <w:rPr>
      <w:rFonts w:ascii="AKDJAD+TimesNewRoman,Bold" w:hAnsi="AKDJAD+TimesNewRoman,Bold" w:cstheme="minorBidi"/>
      <w:color w:val="auto"/>
    </w:rPr>
  </w:style>
  <w:style w:type="paragraph" w:customStyle="1" w:styleId="CM29">
    <w:name w:val="CM29"/>
    <w:basedOn w:val="Default"/>
    <w:next w:val="Default"/>
    <w:uiPriority w:val="99"/>
    <w:rsid w:val="0067584D"/>
    <w:rPr>
      <w:rFonts w:ascii="AKDJAD+TimesNewRoman,Bold" w:hAnsi="AKDJAD+TimesNewRoman,Bold" w:cstheme="minorBidi"/>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NZ"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784</Words>
  <Characters>4470</Characters>
  <Application>Microsoft Office Word</Application>
  <DocSecurity>0</DocSecurity>
  <Lines>37</Lines>
  <Paragraphs>10</Paragraphs>
  <ScaleCrop>false</ScaleCrop>
  <Company>University of Waikato</Company>
  <LinksUpToDate>false</LinksUpToDate>
  <CharactersWithSpaces>5244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Jacinta</dc:creator>
  <cp:keywords/>
  <dc:description/>
  <cp:lastModifiedBy>Robinson, Benjamin</cp:lastModifiedBy>
  <cp:revision>3</cp:revision>
  <dcterms:created xsi:type="dcterms:W3CDTF">2011-04-08T00:14:00Z</dcterms:created>
  <dcterms:modified xsi:type="dcterms:W3CDTF">2012-02-10T01:28:00Z</dcterms:modified>
</cp:coreProperties>
</file>