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3046" w:rsidRDefault="00817AE8" w:rsidP="00817AE8">
      <w:pPr>
        <w:pStyle w:val="Title"/>
      </w:pPr>
      <w:bookmarkStart w:id="0" w:name="_Toc46146263"/>
      <w:r>
        <w:t xml:space="preserve">Supplementary File </w:t>
      </w:r>
      <w:r w:rsidR="00670990">
        <w:t>S</w:t>
      </w:r>
      <w:r>
        <w:t>3.1</w:t>
      </w:r>
    </w:p>
    <w:p w:rsidR="00573B53" w:rsidRPr="00573B53" w:rsidRDefault="00573B53" w:rsidP="00573B53"/>
    <w:p w:rsidR="00CC3046" w:rsidRDefault="00CC3046" w:rsidP="00935CC9">
      <w:pPr>
        <w:pStyle w:val="Heading2"/>
      </w:pPr>
      <w:bookmarkStart w:id="1" w:name="_GoBack"/>
      <w:bookmarkEnd w:id="1"/>
      <w:r>
        <w:t>Preliminary trials of invasion assay</w:t>
      </w:r>
      <w:bookmarkEnd w:id="0"/>
    </w:p>
    <w:p w:rsidR="00CC3046" w:rsidRDefault="00CC3046" w:rsidP="000A723D">
      <w:r>
        <w:t xml:space="preserve">Preliminary trials of the invasion protocol </w:t>
      </w:r>
      <w:proofErr w:type="gramStart"/>
      <w:r>
        <w:t xml:space="preserve">were </w:t>
      </w:r>
      <w:r w:rsidR="000A723D">
        <w:t>completed</w:t>
      </w:r>
      <w:proofErr w:type="gramEnd"/>
      <w:r>
        <w:t xml:space="preserve"> before the final protocol was determined.  Initially the ability of </w:t>
      </w:r>
      <w:r w:rsidRPr="004863CE">
        <w:rPr>
          <w:i/>
          <w:iCs/>
        </w:rPr>
        <w:t>S. zooepidemicus</w:t>
      </w:r>
      <w:r>
        <w:rPr>
          <w:i/>
          <w:iCs/>
        </w:rPr>
        <w:t xml:space="preserve"> </w:t>
      </w:r>
      <w:r>
        <w:t xml:space="preserve">and </w:t>
      </w:r>
      <w:r w:rsidRPr="004863CE">
        <w:rPr>
          <w:i/>
          <w:iCs/>
        </w:rPr>
        <w:t>S. equi</w:t>
      </w:r>
      <w:r>
        <w:rPr>
          <w:i/>
          <w:iCs/>
        </w:rPr>
        <w:t xml:space="preserve"> </w:t>
      </w:r>
      <w:r>
        <w:t xml:space="preserve">to grow in the components of the host cell culture media was determined.  A single colony of two </w:t>
      </w:r>
      <w:proofErr w:type="spellStart"/>
      <w:r>
        <w:rPr>
          <w:i/>
          <w:iCs/>
        </w:rPr>
        <w:t>szp</w:t>
      </w:r>
      <w:proofErr w:type="spellEnd"/>
      <w:r>
        <w:rPr>
          <w:i/>
          <w:iCs/>
        </w:rPr>
        <w:t xml:space="preserve"> </w:t>
      </w:r>
      <w:r>
        <w:t xml:space="preserve">strains of </w:t>
      </w:r>
      <w:r w:rsidRPr="004863CE">
        <w:rPr>
          <w:i/>
          <w:iCs/>
        </w:rPr>
        <w:t>S. zooepidemicus</w:t>
      </w:r>
      <w:r>
        <w:rPr>
          <w:i/>
          <w:iCs/>
        </w:rPr>
        <w:t xml:space="preserve"> </w:t>
      </w:r>
      <w:r>
        <w:t>(</w:t>
      </w:r>
      <w:r w:rsidRPr="002105CB">
        <w:rPr>
          <w:rFonts w:ascii="Calibri" w:eastAsia="Times New Roman" w:hAnsi="Calibri" w:cs="Times New Roman"/>
          <w:color w:val="000000"/>
        </w:rPr>
        <w:t>WK15114_2</w:t>
      </w:r>
      <w:r>
        <w:rPr>
          <w:rFonts w:ascii="Calibri" w:eastAsia="Times New Roman" w:hAnsi="Calibri" w:cs="Times New Roman"/>
          <w:color w:val="000000"/>
        </w:rPr>
        <w:t xml:space="preserve">, </w:t>
      </w:r>
      <w:r>
        <w:rPr>
          <w:i/>
          <w:iCs/>
        </w:rPr>
        <w:t>szp-</w:t>
      </w:r>
      <w:r>
        <w:t xml:space="preserve">39 and </w:t>
      </w:r>
      <w:r>
        <w:rPr>
          <w:rFonts w:ascii="Calibri" w:eastAsia="Times New Roman" w:hAnsi="Calibri" w:cs="Times New Roman"/>
          <w:color w:val="000000"/>
        </w:rPr>
        <w:t xml:space="preserve">JK, </w:t>
      </w:r>
      <w:r>
        <w:rPr>
          <w:i/>
          <w:iCs/>
        </w:rPr>
        <w:t>szp-</w:t>
      </w:r>
      <w:r>
        <w:t xml:space="preserve">13) and three of </w:t>
      </w:r>
      <w:r w:rsidRPr="004863CE">
        <w:rPr>
          <w:i/>
          <w:iCs/>
        </w:rPr>
        <w:t>S. equi</w:t>
      </w:r>
      <w:r>
        <w:rPr>
          <w:i/>
          <w:iCs/>
        </w:rPr>
        <w:t xml:space="preserve"> </w:t>
      </w:r>
      <w:r>
        <w:t>isolates</w:t>
      </w:r>
      <w:r>
        <w:rPr>
          <w:i/>
          <w:iCs/>
        </w:rPr>
        <w:t xml:space="preserve"> </w:t>
      </w:r>
      <w:r>
        <w:t xml:space="preserve">(EDED090, </w:t>
      </w:r>
      <w:r>
        <w:rPr>
          <w:i/>
          <w:iCs/>
        </w:rPr>
        <w:t>seM-99</w:t>
      </w:r>
      <w:r>
        <w:t xml:space="preserve">; G22401, </w:t>
      </w:r>
      <w:r>
        <w:rPr>
          <w:i/>
          <w:iCs/>
        </w:rPr>
        <w:t>seM</w:t>
      </w:r>
      <w:r>
        <w:t xml:space="preserve">-100; and KAY07, </w:t>
      </w:r>
      <w:r>
        <w:rPr>
          <w:i/>
          <w:iCs/>
        </w:rPr>
        <w:t>seM</w:t>
      </w:r>
      <w:r>
        <w:t xml:space="preserve">-100) were inoculated into 3 mL BHI supplemented with 0.5 </w:t>
      </w:r>
      <w:r w:rsidRPr="00955A89">
        <w:t>µg/</w:t>
      </w:r>
      <w:r>
        <w:t>mL</w:t>
      </w:r>
      <w:r w:rsidRPr="00955A89">
        <w:t xml:space="preserve"> Amphotericin and grown overnight statically at 37</w:t>
      </w:r>
      <w:r>
        <w:t xml:space="preserve"> </w:t>
      </w:r>
      <w:r w:rsidRPr="00955A89">
        <w:sym w:font="Symbol" w:char="F0B0"/>
      </w:r>
      <w:r w:rsidRPr="00955A89">
        <w:t>C in a 5</w:t>
      </w:r>
      <w:r>
        <w:t xml:space="preserve"> </w:t>
      </w:r>
      <w:r w:rsidRPr="00955A89">
        <w:t>% CO</w:t>
      </w:r>
      <w:r w:rsidRPr="00955A89">
        <w:rPr>
          <w:vertAlign w:val="subscript"/>
        </w:rPr>
        <w:t>2</w:t>
      </w:r>
      <w:r w:rsidRPr="00955A89">
        <w:t xml:space="preserve"> incubator.  Similarly, these strains </w:t>
      </w:r>
      <w:proofErr w:type="gramStart"/>
      <w:r w:rsidRPr="00955A89">
        <w:t>were inoculated</w:t>
      </w:r>
      <w:proofErr w:type="gramEnd"/>
      <w:r w:rsidRPr="00955A89">
        <w:t xml:space="preserve"> into 3 </w:t>
      </w:r>
      <w:r>
        <w:t>mL</w:t>
      </w:r>
      <w:r w:rsidRPr="00955A89">
        <w:t xml:space="preserve"> of two different culture medium, DMEM (Dulbecco’s Modified Eagle Medium, high glucose, pyruvate, 11995-065 Life Technologies) and RPMI (RPMI 1640 medium, </w:t>
      </w:r>
      <w:proofErr w:type="spellStart"/>
      <w:r w:rsidRPr="00955A89">
        <w:t>GlutaMAX</w:t>
      </w:r>
      <w:proofErr w:type="spellEnd"/>
      <w:r w:rsidRPr="00955A89">
        <w:t xml:space="preserve"> supplement, HEPES, 72400-047 Life Technologies) both supplemented with 10</w:t>
      </w:r>
      <w:r>
        <w:t xml:space="preserve"> </w:t>
      </w:r>
      <w:r w:rsidRPr="00955A89">
        <w:t>% heat-inactivated foetal</w:t>
      </w:r>
      <w:r w:rsidRPr="006E6617">
        <w:t xml:space="preserve"> bovine serum</w:t>
      </w:r>
      <w:r>
        <w:t xml:space="preserve"> (</w:t>
      </w:r>
      <w:r w:rsidRPr="006E6617">
        <w:t>F8067 Sigma)</w:t>
      </w:r>
      <w:r>
        <w:t xml:space="preserve">.  </w:t>
      </w:r>
      <w:r w:rsidRPr="006E6617">
        <w:t xml:space="preserve"> </w:t>
      </w:r>
      <w:r>
        <w:t xml:space="preserve">Cultures </w:t>
      </w:r>
      <w:proofErr w:type="gramStart"/>
      <w:r>
        <w:t>were observed</w:t>
      </w:r>
      <w:proofErr w:type="gramEnd"/>
      <w:r>
        <w:t xml:space="preserve"> the next morning as either positive with growth or negative with no growth.  </w:t>
      </w:r>
    </w:p>
    <w:p w:rsidR="00CC3046" w:rsidRPr="00642418" w:rsidRDefault="00CC3046" w:rsidP="00CC3046">
      <w:pPr>
        <w:rPr>
          <w:u w:val="single"/>
        </w:rPr>
      </w:pPr>
      <w:r>
        <w:t xml:space="preserve">A range of concentrations of the gentamicin and penicillin mixed treatment </w:t>
      </w:r>
      <w:proofErr w:type="gramStart"/>
      <w:r>
        <w:t>were trailed</w:t>
      </w:r>
      <w:proofErr w:type="gramEnd"/>
      <w:r>
        <w:t xml:space="preserve"> to determine the optimal dose to kill all extracellular bacteria.  An overnight culture of </w:t>
      </w:r>
      <w:r w:rsidRPr="004863CE">
        <w:rPr>
          <w:i/>
          <w:iCs/>
        </w:rPr>
        <w:t>S. zooepidemicus</w:t>
      </w:r>
      <w:r>
        <w:rPr>
          <w:i/>
          <w:iCs/>
        </w:rPr>
        <w:t xml:space="preserve"> </w:t>
      </w:r>
      <w:r>
        <w:t>(</w:t>
      </w:r>
      <w:r w:rsidRPr="002105CB">
        <w:rPr>
          <w:rFonts w:ascii="Calibri" w:eastAsia="Times New Roman" w:hAnsi="Calibri" w:cs="Times New Roman"/>
          <w:color w:val="000000"/>
        </w:rPr>
        <w:t>WK15114_2</w:t>
      </w:r>
      <w:r>
        <w:rPr>
          <w:rFonts w:ascii="Calibri" w:eastAsia="Times New Roman" w:hAnsi="Calibri" w:cs="Times New Roman"/>
          <w:color w:val="000000"/>
        </w:rPr>
        <w:t xml:space="preserve">, </w:t>
      </w:r>
      <w:proofErr w:type="spellStart"/>
      <w:r>
        <w:rPr>
          <w:i/>
          <w:iCs/>
        </w:rPr>
        <w:t>szp</w:t>
      </w:r>
      <w:proofErr w:type="spellEnd"/>
      <w:r>
        <w:rPr>
          <w:i/>
          <w:iCs/>
        </w:rPr>
        <w:t xml:space="preserve"> </w:t>
      </w:r>
      <w:r>
        <w:t xml:space="preserve">– 39) was diluted to an OD600 = </w:t>
      </w:r>
      <w:proofErr w:type="gramStart"/>
      <w:r>
        <w:t>1</w:t>
      </w:r>
      <w:proofErr w:type="gramEnd"/>
      <w:r>
        <w:t xml:space="preserve"> in PBS then further diluted 1:100 in CM-.  Four hundred microliters of CM- </w:t>
      </w:r>
      <w:proofErr w:type="gramStart"/>
      <w:r>
        <w:t>was added to the wells of a 24 well plate and then inoculated with 100 µL of the 1:100 bacterial dilution</w:t>
      </w:r>
      <w:proofErr w:type="gramEnd"/>
      <w:r>
        <w:t xml:space="preserve">.  </w:t>
      </w:r>
      <w:proofErr w:type="gramStart"/>
      <w:r>
        <w:t xml:space="preserve">After a 4 h incubation, grown statically at </w:t>
      </w:r>
      <w:r w:rsidRPr="006E6617">
        <w:t>37</w:t>
      </w:r>
      <w:r>
        <w:t xml:space="preserve"> </w:t>
      </w:r>
      <w:r w:rsidRPr="006E6617">
        <w:sym w:font="Symbol" w:char="F0B0"/>
      </w:r>
      <w:r w:rsidRPr="006E6617">
        <w:t>C</w:t>
      </w:r>
      <w:r>
        <w:t xml:space="preserve"> in a 5 % CO</w:t>
      </w:r>
      <w:r w:rsidRPr="007A4B61">
        <w:rPr>
          <w:vertAlign w:val="subscript"/>
        </w:rPr>
        <w:t>2</w:t>
      </w:r>
      <w:r>
        <w:t xml:space="preserve"> incubator, the media was removed and replaced with 500 µL </w:t>
      </w:r>
      <w:r w:rsidR="000A723D">
        <w:t>of CM containing one of the tria</w:t>
      </w:r>
      <w:r>
        <w:t xml:space="preserve">l concentrations of gentamicin and penicillin: 1. </w:t>
      </w:r>
      <w:r w:rsidRPr="00C24B7C">
        <w:t>200 µg/</w:t>
      </w:r>
      <w:r>
        <w:t>mL</w:t>
      </w:r>
      <w:r w:rsidRPr="00C24B7C">
        <w:t xml:space="preserve"> gentamicin and 5µg/</w:t>
      </w:r>
      <w:r>
        <w:t>mL</w:t>
      </w:r>
      <w:r w:rsidRPr="00C24B7C">
        <w:t xml:space="preserve"> penicillin, 2. 100 µg/</w:t>
      </w:r>
      <w:r>
        <w:t>mL</w:t>
      </w:r>
      <w:r w:rsidRPr="00C24B7C">
        <w:t xml:space="preserve"> gentamicin and 5 µg/</w:t>
      </w:r>
      <w:r>
        <w:t>mL</w:t>
      </w:r>
      <w:r w:rsidRPr="00C24B7C">
        <w:t xml:space="preserve"> penicillin, 3. 50 µg/</w:t>
      </w:r>
      <w:r>
        <w:t>mL</w:t>
      </w:r>
      <w:r w:rsidRPr="00C24B7C">
        <w:t xml:space="preserve"> gentamicin and 100 µg/</w:t>
      </w:r>
      <w:r>
        <w:t>mL</w:t>
      </w:r>
      <w:r w:rsidRPr="00C24B7C">
        <w:t xml:space="preserve"> penicillin, 4. </w:t>
      </w:r>
      <w:r w:rsidRPr="00B76D34">
        <w:t>200 µg/</w:t>
      </w:r>
      <w:r>
        <w:t>mL</w:t>
      </w:r>
      <w:r w:rsidRPr="00B76D34">
        <w:t xml:space="preserve"> gentamicin and 100 µg/</w:t>
      </w:r>
      <w:r>
        <w:t>mL</w:t>
      </w:r>
      <w:r w:rsidRPr="00B76D34">
        <w:t xml:space="preserve"> penicillin.</w:t>
      </w:r>
      <w:proofErr w:type="gramEnd"/>
      <w:r w:rsidRPr="00B76D34">
        <w:t xml:space="preserve">  </w:t>
      </w:r>
      <w:r>
        <w:t xml:space="preserve">Two controls </w:t>
      </w:r>
      <w:proofErr w:type="gramStart"/>
      <w:r>
        <w:t>were used</w:t>
      </w:r>
      <w:proofErr w:type="gramEnd"/>
      <w:r>
        <w:t xml:space="preserve">, a well for bacterial growth control containing bacteria with no antibiotic treatment and a well for sterility control with no bacteria or antibiotic treatment.  After 1 h of </w:t>
      </w:r>
      <w:proofErr w:type="gramStart"/>
      <w:r>
        <w:t>treatment</w:t>
      </w:r>
      <w:proofErr w:type="gramEnd"/>
      <w:r>
        <w:t xml:space="preserve"> the media was removed and collected into individual microfuge tubes.  Each well was then washed </w:t>
      </w:r>
      <w:proofErr w:type="gramStart"/>
      <w:r>
        <w:t>2</w:t>
      </w:r>
      <w:proofErr w:type="gramEnd"/>
      <w:r>
        <w:t xml:space="preserve"> x with 250 µL of PBS.  Each wash </w:t>
      </w:r>
      <w:proofErr w:type="gramStart"/>
      <w:r>
        <w:t xml:space="preserve">was collected </w:t>
      </w:r>
      <w:r>
        <w:lastRenderedPageBreak/>
        <w:t>and added to the med</w:t>
      </w:r>
      <w:r w:rsidR="000A723D">
        <w:t>ia</w:t>
      </w:r>
      <w:proofErr w:type="gramEnd"/>
      <w:r w:rsidR="000A723D">
        <w:t xml:space="preserve">.  The media and wash </w:t>
      </w:r>
      <w:proofErr w:type="gramStart"/>
      <w:r w:rsidR="000A723D">
        <w:t>w</w:t>
      </w:r>
      <w:r>
        <w:t>ere then pelleted</w:t>
      </w:r>
      <w:proofErr w:type="gramEnd"/>
      <w:r>
        <w:t xml:space="preserve"> by centrifugation and the pellet was </w:t>
      </w:r>
      <w:proofErr w:type="spellStart"/>
      <w:r>
        <w:t>resuspended</w:t>
      </w:r>
      <w:proofErr w:type="spellEnd"/>
      <w:r>
        <w:t xml:space="preserve"> in 500</w:t>
      </w:r>
      <w:r w:rsidRPr="00642418">
        <w:t xml:space="preserve"> </w:t>
      </w:r>
      <w:r>
        <w:t>µL of PBS.  The resu</w:t>
      </w:r>
      <w:r w:rsidR="000A723D">
        <w:t>s</w:t>
      </w:r>
      <w:r>
        <w:t xml:space="preserve">pension </w:t>
      </w:r>
      <w:proofErr w:type="gramStart"/>
      <w:r>
        <w:t>was used</w:t>
      </w:r>
      <w:proofErr w:type="gramEnd"/>
      <w:r>
        <w:t xml:space="preserve"> for serial dilution spotting for </w:t>
      </w:r>
      <w:proofErr w:type="spellStart"/>
      <w:r>
        <w:t>cfu</w:t>
      </w:r>
      <w:proofErr w:type="spellEnd"/>
      <w:r>
        <w:t xml:space="preserve"> counts as described above.  To determine if any bacterial cells that had adhered to the wells of the plate were still viable, 500 µL of BHI supplemented with 0.5 µg/mL amphotericin was added to each well and left to grow overnight statically at </w:t>
      </w:r>
      <w:r w:rsidRPr="006E6617">
        <w:t>37</w:t>
      </w:r>
      <w:r>
        <w:t xml:space="preserve"> </w:t>
      </w:r>
      <w:r w:rsidRPr="006E6617">
        <w:sym w:font="Symbol" w:char="F0B0"/>
      </w:r>
      <w:r w:rsidRPr="006E6617">
        <w:t>C</w:t>
      </w:r>
      <w:r>
        <w:t xml:space="preserve"> in a 5 % CO</w:t>
      </w:r>
      <w:r w:rsidRPr="007A4B61">
        <w:rPr>
          <w:vertAlign w:val="subscript"/>
        </w:rPr>
        <w:t>2</w:t>
      </w:r>
      <w:r>
        <w:t xml:space="preserve"> incubator.  The experiment </w:t>
      </w:r>
      <w:proofErr w:type="gramStart"/>
      <w:r>
        <w:t>was repeated</w:t>
      </w:r>
      <w:proofErr w:type="gramEnd"/>
      <w:r>
        <w:t xml:space="preserve"> three times.</w:t>
      </w:r>
    </w:p>
    <w:p w:rsidR="00CC3046" w:rsidRDefault="00CC3046" w:rsidP="000A723D">
      <w:r>
        <w:t xml:space="preserve">Lysis solutions were also trialled to optimise the best retrieval of internalized bacteria.  </w:t>
      </w:r>
      <w:r w:rsidR="007A3B32" w:rsidRPr="004863CE">
        <w:t>Equine</w:t>
      </w:r>
      <w:r w:rsidR="007A3B32">
        <w:t xml:space="preserve"> dermal fibroblast (NBL6) (ATCC® CCL57™) (passage of P19-P21) and A545 human alveolar epithelial (ATCC® CCL185™) (passage of P30-P34) cell lines were used as host cells for the invasion assays.  These m</w:t>
      </w:r>
      <w:r w:rsidRPr="006E6617">
        <w:t xml:space="preserve">ammalian cells </w:t>
      </w:r>
      <w:proofErr w:type="gramStart"/>
      <w:r>
        <w:t>were grown to approximately 70 % to 80 % confluence and</w:t>
      </w:r>
      <w:r w:rsidRPr="006E6617">
        <w:t xml:space="preserve"> washed two times with 2 </w:t>
      </w:r>
      <w:r>
        <w:t>mL</w:t>
      </w:r>
      <w:r w:rsidRPr="006E6617">
        <w:t xml:space="preserve"> </w:t>
      </w:r>
      <w:r>
        <w:t xml:space="preserve">PBS </w:t>
      </w:r>
      <w:r w:rsidRPr="006E6617">
        <w:t>to remove residual antibiotics</w:t>
      </w:r>
      <w:proofErr w:type="gramEnd"/>
      <w:r w:rsidRPr="006E6617">
        <w:t>.</w:t>
      </w:r>
      <w:r>
        <w:t xml:space="preserve">  Two millilitres of a 1:50 dilution of an overnight culture of bacteria</w:t>
      </w:r>
      <w:r w:rsidRPr="006E6617">
        <w:t xml:space="preserve"> </w:t>
      </w:r>
      <w:proofErr w:type="gramStart"/>
      <w:r w:rsidRPr="006E6617">
        <w:t xml:space="preserve">was </w:t>
      </w:r>
      <w:r>
        <w:t>used</w:t>
      </w:r>
      <w:proofErr w:type="gramEnd"/>
      <w:r>
        <w:t xml:space="preserve"> to infect the mammalian cells in CM-.  </w:t>
      </w:r>
      <w:r w:rsidRPr="006E6617">
        <w:t xml:space="preserve">After two hours of infection, the cells </w:t>
      </w:r>
      <w:proofErr w:type="gramStart"/>
      <w:r w:rsidRPr="006E6617">
        <w:t>were washed</w:t>
      </w:r>
      <w:proofErr w:type="gramEnd"/>
      <w:r w:rsidRPr="006E6617">
        <w:t xml:space="preserve"> two times with 2 </w:t>
      </w:r>
      <w:r>
        <w:t>mL</w:t>
      </w:r>
      <w:r w:rsidRPr="006E6617">
        <w:t xml:space="preserve"> of PBS to remove non-adhered bacteria.  Mammalian cells a</w:t>
      </w:r>
      <w:r w:rsidR="000A723D">
        <w:t>nd associated bacteria were di</w:t>
      </w:r>
      <w:r w:rsidRPr="006E6617">
        <w:t xml:space="preserve">ssociated from the flask with the addition of </w:t>
      </w:r>
      <w:proofErr w:type="gramStart"/>
      <w:r w:rsidRPr="006E6617">
        <w:t>500 µL</w:t>
      </w:r>
      <w:proofErr w:type="gramEnd"/>
      <w:r w:rsidRPr="006E6617">
        <w:t xml:space="preserve"> trypsin-EDTA.  </w:t>
      </w:r>
      <w:r>
        <w:t>At this stage, different lysis solutions were trialled after the disassociation of cells from the flask: double distilled water (ddH</w:t>
      </w:r>
      <w:r w:rsidRPr="00D60BE3">
        <w:rPr>
          <w:vertAlign w:val="subscript"/>
        </w:rPr>
        <w:t>2</w:t>
      </w:r>
      <w:r>
        <w:t xml:space="preserve">O), 0.2 % </w:t>
      </w:r>
      <w:r w:rsidRPr="00A251B7">
        <w:t xml:space="preserve">Triton® X-100 </w:t>
      </w:r>
      <w:r>
        <w:t>in ddH</w:t>
      </w:r>
      <w:r>
        <w:rPr>
          <w:vertAlign w:val="subscript"/>
        </w:rPr>
        <w:t>2</w:t>
      </w:r>
      <w:r>
        <w:t>O</w:t>
      </w:r>
      <w:r w:rsidRPr="00614422">
        <w:t xml:space="preserve"> </w:t>
      </w:r>
      <w:r>
        <w:t xml:space="preserve">(final concentration 0.12 %), 0.05 % </w:t>
      </w:r>
      <w:proofErr w:type="spellStart"/>
      <w:r w:rsidRPr="000A723D">
        <w:t>sapinon</w:t>
      </w:r>
      <w:proofErr w:type="spellEnd"/>
      <w:r w:rsidRPr="000A723D">
        <w:t xml:space="preserve"> i</w:t>
      </w:r>
      <w:r>
        <w:t>n ddH</w:t>
      </w:r>
      <w:r>
        <w:rPr>
          <w:vertAlign w:val="subscript"/>
        </w:rPr>
        <w:t>2</w:t>
      </w:r>
      <w:r>
        <w:t>O (final concentration 0.03 %), PBS, and deionised H</w:t>
      </w:r>
      <w:r w:rsidRPr="00D60BE3">
        <w:rPr>
          <w:vertAlign w:val="subscript"/>
        </w:rPr>
        <w:t>2</w:t>
      </w:r>
      <w:r>
        <w:t>O.  The cell lysate</w:t>
      </w:r>
      <w:r w:rsidRPr="006E6617">
        <w:t xml:space="preserve"> </w:t>
      </w:r>
      <w:proofErr w:type="gramStart"/>
      <w:r w:rsidRPr="006E6617">
        <w:t xml:space="preserve">was collected and placed in a 1.5 </w:t>
      </w:r>
      <w:r>
        <w:t>mL</w:t>
      </w:r>
      <w:r w:rsidRPr="006E6617">
        <w:t xml:space="preserve"> </w:t>
      </w:r>
      <w:proofErr w:type="spellStart"/>
      <w:r w:rsidRPr="006E6617">
        <w:t>microcentrifuge</w:t>
      </w:r>
      <w:proofErr w:type="spellEnd"/>
      <w:r w:rsidRPr="006E6617">
        <w:t xml:space="preserve"> tube and spun at </w:t>
      </w:r>
      <w:r>
        <w:t>16,100 g</w:t>
      </w:r>
      <w:r w:rsidRPr="006E6617">
        <w:t xml:space="preserve"> for </w:t>
      </w:r>
      <w:r w:rsidR="007A3B32">
        <w:t>two</w:t>
      </w:r>
      <w:r>
        <w:t xml:space="preserve"> min</w:t>
      </w:r>
      <w:proofErr w:type="gramEnd"/>
      <w:r w:rsidRPr="006E6617">
        <w:t xml:space="preserve">.  The supernatant </w:t>
      </w:r>
      <w:proofErr w:type="gramStart"/>
      <w:r w:rsidRPr="006E6617">
        <w:t>was removed</w:t>
      </w:r>
      <w:proofErr w:type="gramEnd"/>
      <w:r w:rsidRPr="006E6617">
        <w:t xml:space="preserve"> and the pellet </w:t>
      </w:r>
      <w:proofErr w:type="spellStart"/>
      <w:r w:rsidRPr="006E6617">
        <w:t>resuspended</w:t>
      </w:r>
      <w:proofErr w:type="spellEnd"/>
      <w:r w:rsidRPr="006E6617">
        <w:t xml:space="preserve"> in </w:t>
      </w:r>
      <w:r>
        <w:t>1 mL</w:t>
      </w:r>
      <w:r w:rsidRPr="006E6617">
        <w:t xml:space="preserve"> PBS</w:t>
      </w:r>
      <w:r>
        <w:t xml:space="preserve">.  The cellular resuspension </w:t>
      </w:r>
      <w:proofErr w:type="gramStart"/>
      <w:r>
        <w:t>was</w:t>
      </w:r>
      <w:r w:rsidRPr="006E6617">
        <w:t xml:space="preserve"> used</w:t>
      </w:r>
      <w:proofErr w:type="gramEnd"/>
      <w:r w:rsidRPr="006E6617">
        <w:t xml:space="preserve"> to determine</w:t>
      </w:r>
      <w:r>
        <w:t xml:space="preserve"> </w:t>
      </w:r>
      <w:proofErr w:type="spellStart"/>
      <w:r>
        <w:t>cfu</w:t>
      </w:r>
      <w:proofErr w:type="spellEnd"/>
      <w:r>
        <w:t xml:space="preserve"> using serial dilution spotting</w:t>
      </w:r>
      <w:r w:rsidRPr="006E6617">
        <w:t>.</w:t>
      </w:r>
      <w:r>
        <w:t xml:space="preserve">  A uterus isolate WK15092_1 (</w:t>
      </w:r>
      <w:r>
        <w:rPr>
          <w:i/>
          <w:iCs/>
        </w:rPr>
        <w:t>szp</w:t>
      </w:r>
      <w:r>
        <w:t xml:space="preserve">-8) was used in the lysis trials. </w:t>
      </w:r>
    </w:p>
    <w:p w:rsidR="00CC3046" w:rsidRDefault="00CC3046" w:rsidP="00935CC9">
      <w:pPr>
        <w:pStyle w:val="Heading2"/>
      </w:pPr>
      <w:bookmarkStart w:id="2" w:name="_Toc46146266"/>
      <w:r>
        <w:t>Results of Preliminary Trials of Invasion Assay</w:t>
      </w:r>
      <w:bookmarkEnd w:id="2"/>
    </w:p>
    <w:p w:rsidR="00CC3046" w:rsidRDefault="00CC3046" w:rsidP="00E27991">
      <w:r>
        <w:t xml:space="preserve">The trialled </w:t>
      </w:r>
      <w:r w:rsidRPr="004863CE">
        <w:rPr>
          <w:i/>
          <w:iCs/>
        </w:rPr>
        <w:t>S. zooepidemicus</w:t>
      </w:r>
      <w:r>
        <w:rPr>
          <w:i/>
          <w:iCs/>
        </w:rPr>
        <w:t xml:space="preserve"> </w:t>
      </w:r>
      <w:r>
        <w:t xml:space="preserve">and </w:t>
      </w:r>
      <w:r w:rsidRPr="004863CE">
        <w:rPr>
          <w:i/>
          <w:iCs/>
        </w:rPr>
        <w:t>S. equi</w:t>
      </w:r>
      <w:r>
        <w:rPr>
          <w:i/>
          <w:iCs/>
        </w:rPr>
        <w:t xml:space="preserve"> </w:t>
      </w:r>
      <w:r>
        <w:t xml:space="preserve">strains were all able to grow in the presence of 0.5 µg/mL of the antifungal component of the culture media, Amphotericin.  Both the </w:t>
      </w:r>
      <w:r w:rsidRPr="004863CE">
        <w:rPr>
          <w:i/>
          <w:iCs/>
        </w:rPr>
        <w:t>S. zooepidemicus</w:t>
      </w:r>
      <w:r>
        <w:rPr>
          <w:i/>
          <w:iCs/>
        </w:rPr>
        <w:t xml:space="preserve"> </w:t>
      </w:r>
      <w:r>
        <w:t xml:space="preserve">strains were able to grow in both </w:t>
      </w:r>
      <w:r w:rsidRPr="00344324">
        <w:t>DMEM and RPMI culture</w:t>
      </w:r>
      <w:r>
        <w:t xml:space="preserve"> media; both supplemented with </w:t>
      </w:r>
      <w:r w:rsidRPr="006E6617">
        <w:t>10</w:t>
      </w:r>
      <w:r>
        <w:t xml:space="preserve"> </w:t>
      </w:r>
      <w:r w:rsidRPr="006E6617">
        <w:t xml:space="preserve">% </w:t>
      </w:r>
      <w:r>
        <w:t xml:space="preserve">heat-inactivated </w:t>
      </w:r>
      <w:r w:rsidRPr="006E6617">
        <w:t>foetal bovine serum</w:t>
      </w:r>
      <w:r>
        <w:t xml:space="preserve">.  </w:t>
      </w:r>
      <w:r w:rsidRPr="006E6617">
        <w:t xml:space="preserve"> </w:t>
      </w:r>
      <w:r w:rsidRPr="004863CE">
        <w:rPr>
          <w:i/>
          <w:iCs/>
        </w:rPr>
        <w:t>S. equi</w:t>
      </w:r>
      <w:r>
        <w:t>,</w:t>
      </w:r>
      <w:r>
        <w:rPr>
          <w:i/>
          <w:iCs/>
        </w:rPr>
        <w:t xml:space="preserve"> </w:t>
      </w:r>
      <w:r>
        <w:t xml:space="preserve">however, was only able to grow in RPMI with no visible growth observed in the DMEM medium.  Further experiments </w:t>
      </w:r>
      <w:proofErr w:type="gramStart"/>
      <w:r>
        <w:t>would be needed</w:t>
      </w:r>
      <w:proofErr w:type="gramEnd"/>
      <w:r>
        <w:t xml:space="preserve"> with more isolates to verify this inhibited growth.  Future </w:t>
      </w:r>
      <w:r>
        <w:lastRenderedPageBreak/>
        <w:t xml:space="preserve">experiments could focus on what component, or lack of, inhibited the growth of </w:t>
      </w:r>
      <w:r w:rsidRPr="004863CE">
        <w:rPr>
          <w:i/>
          <w:iCs/>
        </w:rPr>
        <w:t>S. equi</w:t>
      </w:r>
      <w:r>
        <w:t xml:space="preserve">.  This component may be something that </w:t>
      </w:r>
      <w:proofErr w:type="gramStart"/>
      <w:r>
        <w:t>could be used</w:t>
      </w:r>
      <w:proofErr w:type="gramEnd"/>
      <w:r>
        <w:t xml:space="preserve"> in targeted treatment.  The DMEM media used contains less variety of amino acids and vitamins compared to the RPMI media (</w:t>
      </w:r>
      <w:r w:rsidR="00E27991" w:rsidRPr="00E27991">
        <w:rPr>
          <w:szCs w:val="24"/>
        </w:rPr>
        <w:fldChar w:fldCharType="begin"/>
      </w:r>
      <w:r w:rsidR="00E27991" w:rsidRPr="00E27991">
        <w:rPr>
          <w:szCs w:val="24"/>
        </w:rPr>
        <w:instrText xml:space="preserve"> REF _Ref47800466 \h  \* MERGEFORMAT </w:instrText>
      </w:r>
      <w:r w:rsidR="00E27991" w:rsidRPr="00E27991">
        <w:rPr>
          <w:szCs w:val="24"/>
        </w:rPr>
      </w:r>
      <w:r w:rsidR="00E27991" w:rsidRPr="00E27991">
        <w:rPr>
          <w:szCs w:val="24"/>
        </w:rPr>
        <w:fldChar w:fldCharType="separate"/>
      </w:r>
      <w:r w:rsidR="00E27991" w:rsidRPr="00E27991">
        <w:rPr>
          <w:b/>
          <w:bCs/>
          <w:color w:val="000000" w:themeColor="text1"/>
          <w:szCs w:val="24"/>
        </w:rPr>
        <w:t xml:space="preserve">Table S3.1 </w:t>
      </w:r>
      <w:r w:rsidR="00E27991" w:rsidRPr="00E27991">
        <w:rPr>
          <w:b/>
          <w:bCs/>
          <w:noProof/>
          <w:color w:val="000000" w:themeColor="text1"/>
          <w:szCs w:val="24"/>
        </w:rPr>
        <w:t>1</w:t>
      </w:r>
      <w:r w:rsidR="00E27991" w:rsidRPr="00E27991">
        <w:rPr>
          <w:szCs w:val="24"/>
        </w:rPr>
        <w:fldChar w:fldCharType="end"/>
      </w:r>
      <w:r>
        <w:t>).  DMEM also has generally higher amounts of the same components and has the addition of iron and sodium pyruvate (</w:t>
      </w:r>
      <w:r w:rsidR="00E27991" w:rsidRPr="00E27991">
        <w:rPr>
          <w:szCs w:val="24"/>
        </w:rPr>
        <w:fldChar w:fldCharType="begin"/>
      </w:r>
      <w:r w:rsidR="00E27991" w:rsidRPr="00E27991">
        <w:rPr>
          <w:szCs w:val="24"/>
        </w:rPr>
        <w:instrText xml:space="preserve"> REF _Ref47800466 \h  \* MERGEFORMAT </w:instrText>
      </w:r>
      <w:r w:rsidR="00E27991" w:rsidRPr="00E27991">
        <w:rPr>
          <w:szCs w:val="24"/>
        </w:rPr>
      </w:r>
      <w:r w:rsidR="00E27991" w:rsidRPr="00E27991">
        <w:rPr>
          <w:szCs w:val="24"/>
        </w:rPr>
        <w:fldChar w:fldCharType="separate"/>
      </w:r>
      <w:r w:rsidR="00E27991" w:rsidRPr="00E27991">
        <w:rPr>
          <w:b/>
          <w:bCs/>
          <w:color w:val="000000" w:themeColor="text1"/>
          <w:szCs w:val="24"/>
        </w:rPr>
        <w:t xml:space="preserve">Table S3.1 </w:t>
      </w:r>
      <w:r w:rsidR="00E27991" w:rsidRPr="00E27991">
        <w:rPr>
          <w:b/>
          <w:bCs/>
          <w:noProof/>
          <w:color w:val="000000" w:themeColor="text1"/>
          <w:szCs w:val="24"/>
        </w:rPr>
        <w:t>1</w:t>
      </w:r>
      <w:r w:rsidR="00E27991" w:rsidRPr="00E27991">
        <w:rPr>
          <w:szCs w:val="24"/>
        </w:rPr>
        <w:fldChar w:fldCharType="end"/>
      </w:r>
      <w:r>
        <w:t>).  RMPI has two components not present in DMEM, glutathione and HEPES, along with the additional amino acids and vitamins (</w:t>
      </w:r>
      <w:r w:rsidR="00E27991" w:rsidRPr="00E27991">
        <w:rPr>
          <w:szCs w:val="24"/>
        </w:rPr>
        <w:fldChar w:fldCharType="begin"/>
      </w:r>
      <w:r w:rsidR="00E27991" w:rsidRPr="00E27991">
        <w:rPr>
          <w:szCs w:val="24"/>
        </w:rPr>
        <w:instrText xml:space="preserve"> REF _Ref47800466 \h  \* MERGEFORMAT </w:instrText>
      </w:r>
      <w:r w:rsidR="00E27991" w:rsidRPr="00E27991">
        <w:rPr>
          <w:szCs w:val="24"/>
        </w:rPr>
      </w:r>
      <w:r w:rsidR="00E27991" w:rsidRPr="00E27991">
        <w:rPr>
          <w:szCs w:val="24"/>
        </w:rPr>
        <w:fldChar w:fldCharType="separate"/>
      </w:r>
      <w:r w:rsidR="00E27991" w:rsidRPr="00E27991">
        <w:rPr>
          <w:b/>
          <w:bCs/>
          <w:color w:val="000000" w:themeColor="text1"/>
          <w:szCs w:val="24"/>
        </w:rPr>
        <w:t xml:space="preserve">Table S3.1 </w:t>
      </w:r>
      <w:r w:rsidR="00E27991" w:rsidRPr="00E27991">
        <w:rPr>
          <w:b/>
          <w:bCs/>
          <w:noProof/>
          <w:color w:val="000000" w:themeColor="text1"/>
          <w:szCs w:val="24"/>
        </w:rPr>
        <w:t>1</w:t>
      </w:r>
      <w:r w:rsidR="00E27991" w:rsidRPr="00E27991">
        <w:rPr>
          <w:szCs w:val="24"/>
        </w:rPr>
        <w:fldChar w:fldCharType="end"/>
      </w:r>
      <w:r>
        <w:t>).</w:t>
      </w:r>
    </w:p>
    <w:p w:rsidR="00CC3046" w:rsidRDefault="00CC3046" w:rsidP="00CC3046"/>
    <w:p w:rsidR="00CC3046" w:rsidRDefault="00CC3046" w:rsidP="00CC3046">
      <w:pPr>
        <w:sectPr w:rsidR="00CC3046" w:rsidSect="00B97F77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:rsidR="00817AE8" w:rsidRPr="00817AE8" w:rsidRDefault="00817AE8" w:rsidP="00817AE8">
      <w:pPr>
        <w:pStyle w:val="Caption"/>
        <w:rPr>
          <w:b/>
          <w:bCs/>
          <w:i w:val="0"/>
          <w:iCs w:val="0"/>
          <w:color w:val="auto"/>
          <w:sz w:val="22"/>
          <w:szCs w:val="22"/>
        </w:rPr>
      </w:pPr>
      <w:bookmarkStart w:id="3" w:name="_Ref47800466"/>
      <w:r w:rsidRPr="00817AE8">
        <w:rPr>
          <w:b/>
          <w:bCs/>
          <w:i w:val="0"/>
          <w:iCs w:val="0"/>
          <w:color w:val="000000" w:themeColor="text1"/>
          <w:sz w:val="22"/>
          <w:szCs w:val="22"/>
        </w:rPr>
        <w:lastRenderedPageBreak/>
        <w:t xml:space="preserve">Table S3.1 </w:t>
      </w:r>
      <w:r w:rsidRPr="00817AE8">
        <w:rPr>
          <w:b/>
          <w:bCs/>
          <w:i w:val="0"/>
          <w:iCs w:val="0"/>
          <w:color w:val="000000" w:themeColor="text1"/>
          <w:sz w:val="22"/>
          <w:szCs w:val="22"/>
        </w:rPr>
        <w:fldChar w:fldCharType="begin"/>
      </w:r>
      <w:r w:rsidRPr="00817AE8">
        <w:rPr>
          <w:b/>
          <w:bCs/>
          <w:i w:val="0"/>
          <w:iCs w:val="0"/>
          <w:color w:val="000000" w:themeColor="text1"/>
          <w:sz w:val="22"/>
          <w:szCs w:val="22"/>
        </w:rPr>
        <w:instrText xml:space="preserve"> SEQ Table_S3.1 \* ARABIC </w:instrText>
      </w:r>
      <w:r w:rsidRPr="00817AE8">
        <w:rPr>
          <w:b/>
          <w:bCs/>
          <w:i w:val="0"/>
          <w:iCs w:val="0"/>
          <w:color w:val="000000" w:themeColor="text1"/>
          <w:sz w:val="22"/>
          <w:szCs w:val="22"/>
        </w:rPr>
        <w:fldChar w:fldCharType="separate"/>
      </w:r>
      <w:r w:rsidR="00E27991">
        <w:rPr>
          <w:b/>
          <w:bCs/>
          <w:i w:val="0"/>
          <w:iCs w:val="0"/>
          <w:noProof/>
          <w:color w:val="000000" w:themeColor="text1"/>
          <w:sz w:val="22"/>
          <w:szCs w:val="22"/>
        </w:rPr>
        <w:t>1</w:t>
      </w:r>
      <w:r w:rsidRPr="00817AE8">
        <w:rPr>
          <w:b/>
          <w:bCs/>
          <w:i w:val="0"/>
          <w:iCs w:val="0"/>
          <w:color w:val="000000" w:themeColor="text1"/>
          <w:sz w:val="22"/>
          <w:szCs w:val="22"/>
        </w:rPr>
        <w:fldChar w:fldCharType="end"/>
      </w:r>
      <w:bookmarkEnd w:id="3"/>
      <w:r>
        <w:rPr>
          <w:b/>
          <w:bCs/>
          <w:i w:val="0"/>
          <w:iCs w:val="0"/>
          <w:color w:val="000000" w:themeColor="text1"/>
          <w:sz w:val="22"/>
          <w:szCs w:val="22"/>
        </w:rPr>
        <w:t xml:space="preserve">: </w:t>
      </w:r>
      <w:bookmarkStart w:id="4" w:name="_Toc47447927"/>
      <w:r w:rsidRPr="00F15A7F">
        <w:rPr>
          <w:rFonts w:cstheme="minorHAnsi"/>
          <w:i w:val="0"/>
          <w:iCs w:val="0"/>
          <w:color w:val="auto"/>
          <w:sz w:val="22"/>
          <w:szCs w:val="22"/>
        </w:rPr>
        <w:t>Media components comparing DMEM and RPMI 1640.  Blue highlights the components only found in one of the mediums, grey highlights</w:t>
      </w:r>
      <w:r>
        <w:rPr>
          <w:rFonts w:cstheme="minorHAnsi"/>
          <w:i w:val="0"/>
          <w:iCs w:val="0"/>
          <w:color w:val="auto"/>
          <w:sz w:val="22"/>
          <w:szCs w:val="22"/>
        </w:rPr>
        <w:t xml:space="preserve"> the components in both mediums</w:t>
      </w:r>
      <w:r w:rsidRPr="00F15A7F">
        <w:rPr>
          <w:rFonts w:cstheme="minorHAnsi"/>
          <w:i w:val="0"/>
          <w:iCs w:val="0"/>
          <w:color w:val="auto"/>
          <w:sz w:val="22"/>
          <w:szCs w:val="22"/>
        </w:rPr>
        <w:t xml:space="preserve"> yet one has </w:t>
      </w:r>
      <w:proofErr w:type="gramStart"/>
      <w:r w:rsidRPr="00F15A7F">
        <w:rPr>
          <w:rFonts w:cstheme="minorHAnsi"/>
          <w:i w:val="0"/>
          <w:iCs w:val="0"/>
          <w:color w:val="auto"/>
          <w:sz w:val="22"/>
          <w:szCs w:val="22"/>
        </w:rPr>
        <w:t>either a hydrated or added salt version and</w:t>
      </w:r>
      <w:proofErr w:type="gramEnd"/>
      <w:r w:rsidRPr="00F15A7F">
        <w:rPr>
          <w:rFonts w:cstheme="minorHAnsi"/>
          <w:i w:val="0"/>
          <w:iCs w:val="0"/>
          <w:color w:val="auto"/>
          <w:sz w:val="22"/>
          <w:szCs w:val="22"/>
        </w:rPr>
        <w:t xml:space="preserve"> green highlights</w:t>
      </w:r>
      <w:r>
        <w:rPr>
          <w:rFonts w:cstheme="minorHAnsi"/>
          <w:i w:val="0"/>
          <w:iCs w:val="0"/>
          <w:color w:val="auto"/>
          <w:sz w:val="22"/>
          <w:szCs w:val="22"/>
        </w:rPr>
        <w:t xml:space="preserve"> the one</w:t>
      </w:r>
      <w:r w:rsidRPr="00F15A7F">
        <w:rPr>
          <w:rFonts w:cstheme="minorHAnsi"/>
          <w:i w:val="0"/>
          <w:iCs w:val="0"/>
          <w:color w:val="auto"/>
          <w:sz w:val="22"/>
          <w:szCs w:val="22"/>
        </w:rPr>
        <w:t xml:space="preserve"> with </w:t>
      </w:r>
      <w:r>
        <w:rPr>
          <w:rFonts w:cstheme="minorHAnsi"/>
          <w:i w:val="0"/>
          <w:iCs w:val="0"/>
          <w:color w:val="auto"/>
          <w:sz w:val="22"/>
          <w:szCs w:val="22"/>
        </w:rPr>
        <w:t xml:space="preserve">a </w:t>
      </w:r>
      <w:r w:rsidRPr="00F15A7F">
        <w:rPr>
          <w:rFonts w:cstheme="minorHAnsi"/>
          <w:i w:val="0"/>
          <w:iCs w:val="0"/>
          <w:color w:val="auto"/>
          <w:sz w:val="22"/>
          <w:szCs w:val="22"/>
        </w:rPr>
        <w:t>higher concentration of that particular component</w:t>
      </w:r>
      <w:r>
        <w:rPr>
          <w:rFonts w:cstheme="minorHAnsi"/>
          <w:i w:val="0"/>
          <w:iCs w:val="0"/>
          <w:color w:val="auto"/>
          <w:sz w:val="22"/>
          <w:szCs w:val="22"/>
        </w:rPr>
        <w:t>.</w:t>
      </w:r>
      <w:bookmarkEnd w:id="4"/>
    </w:p>
    <w:tbl>
      <w:tblPr>
        <w:tblW w:w="9016" w:type="dxa"/>
        <w:tblLook w:val="04A0" w:firstRow="1" w:lastRow="0" w:firstColumn="1" w:lastColumn="0" w:noHBand="0" w:noVBand="1"/>
      </w:tblPr>
      <w:tblGrid>
        <w:gridCol w:w="3544"/>
        <w:gridCol w:w="992"/>
        <w:gridCol w:w="1250"/>
        <w:gridCol w:w="1018"/>
        <w:gridCol w:w="1276"/>
        <w:gridCol w:w="936"/>
      </w:tblGrid>
      <w:tr w:rsidR="00CC3046" w:rsidRPr="00807E6F" w:rsidTr="00BB2493">
        <w:trPr>
          <w:trHeight w:val="121"/>
        </w:trPr>
        <w:tc>
          <w:tcPr>
            <w:tcW w:w="3544" w:type="dxa"/>
            <w:tcBorders>
              <w:top w:val="single" w:sz="12" w:space="0" w:color="auto"/>
              <w:lef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Times New Roman" w:eastAsia="Times New Roman" w:hAnsi="Times New Roman"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shd w:val="clear" w:color="auto" w:fill="auto"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</w:tcBorders>
            <w:shd w:val="clear" w:color="auto" w:fill="auto"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DMEM </w:t>
            </w: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high glucose, pyruvate, 11995065, </w:t>
            </w:r>
            <w:proofErr w:type="spellStart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ThermoFisher</w:t>
            </w:r>
            <w:proofErr w:type="spellEnd"/>
          </w:p>
        </w:tc>
        <w:tc>
          <w:tcPr>
            <w:tcW w:w="2212" w:type="dxa"/>
            <w:gridSpan w:val="2"/>
            <w:tcBorders>
              <w:top w:val="single" w:sz="12" w:space="0" w:color="auto"/>
            </w:tcBorders>
            <w:shd w:val="clear" w:color="auto" w:fill="auto"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RMPI 1640 </w:t>
            </w:r>
            <w:proofErr w:type="spellStart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GlutaMAX</w:t>
            </w:r>
            <w:proofErr w:type="spellEnd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, HEPES, 72400047, </w:t>
            </w:r>
            <w:proofErr w:type="spellStart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ThermoFisher</w:t>
            </w:r>
            <w:proofErr w:type="spellEnd"/>
          </w:p>
        </w:tc>
      </w:tr>
      <w:tr w:rsidR="00CC3046" w:rsidRPr="00807E6F" w:rsidTr="00BB2493">
        <w:trPr>
          <w:trHeight w:val="103"/>
        </w:trPr>
        <w:tc>
          <w:tcPr>
            <w:tcW w:w="3544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Components</w:t>
            </w:r>
          </w:p>
        </w:tc>
        <w:tc>
          <w:tcPr>
            <w:tcW w:w="992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Molecular Weight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Concentration (mg/L)</w:t>
            </w:r>
          </w:p>
        </w:tc>
        <w:tc>
          <w:tcPr>
            <w:tcW w:w="1018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807E6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mM</w:t>
            </w:r>
            <w:proofErr w:type="spellEnd"/>
          </w:p>
        </w:tc>
        <w:tc>
          <w:tcPr>
            <w:tcW w:w="127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Concentration (mg/L)</w:t>
            </w:r>
          </w:p>
        </w:tc>
        <w:tc>
          <w:tcPr>
            <w:tcW w:w="9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807E6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mM</w:t>
            </w:r>
            <w:proofErr w:type="spellEnd"/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left w:val="nil"/>
              <w:bottom w:val="nil"/>
              <w:right w:val="nil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>Amino Acids</w:t>
            </w:r>
          </w:p>
        </w:tc>
        <w:tc>
          <w:tcPr>
            <w:tcW w:w="992" w:type="dxa"/>
            <w:tcBorders>
              <w:left w:val="nil"/>
              <w:bottom w:val="nil"/>
              <w:right w:val="single" w:sz="4" w:space="0" w:color="auto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FFFFFF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FFFFFF"/>
                <w:sz w:val="16"/>
                <w:szCs w:val="16"/>
              </w:rPr>
              <w:t> </w:t>
            </w:r>
          </w:p>
        </w:tc>
        <w:tc>
          <w:tcPr>
            <w:tcW w:w="1250" w:type="dxa"/>
            <w:tcBorders>
              <w:left w:val="nil"/>
              <w:bottom w:val="nil"/>
              <w:right w:val="nil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FFFFFF"/>
                <w:sz w:val="16"/>
                <w:szCs w:val="16"/>
              </w:rPr>
            </w:pPr>
          </w:p>
        </w:tc>
        <w:tc>
          <w:tcPr>
            <w:tcW w:w="1018" w:type="dxa"/>
            <w:tcBorders>
              <w:left w:val="nil"/>
              <w:bottom w:val="nil"/>
              <w:right w:val="single" w:sz="8" w:space="0" w:color="auto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FFFFFF"/>
                <w:sz w:val="16"/>
                <w:szCs w:val="16"/>
              </w:rPr>
            </w:pPr>
          </w:p>
        </w:tc>
        <w:tc>
          <w:tcPr>
            <w:tcW w:w="1276" w:type="dxa"/>
            <w:tcBorders>
              <w:left w:val="single" w:sz="8" w:space="0" w:color="auto"/>
              <w:bottom w:val="nil"/>
              <w:right w:val="nil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FFFFFF"/>
                <w:sz w:val="16"/>
                <w:szCs w:val="16"/>
              </w:rPr>
            </w:pPr>
          </w:p>
        </w:tc>
        <w:tc>
          <w:tcPr>
            <w:tcW w:w="936" w:type="dxa"/>
            <w:tcBorders>
              <w:left w:val="nil"/>
              <w:bottom w:val="nil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FFFFFF"/>
                <w:sz w:val="16"/>
                <w:szCs w:val="16"/>
              </w:rPr>
            </w:pP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Glycine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75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30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0.40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0.13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L-</w:t>
            </w:r>
            <w:proofErr w:type="spellStart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Alanyl</w:t>
            </w:r>
            <w:proofErr w:type="spellEnd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-Glutamine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217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446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2.06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L-Arginine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174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1.15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L-Arginine hydrochloride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211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84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0.40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L-Asparagine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132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50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0.38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L-Aspartic acid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133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0.15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L-</w:t>
            </w:r>
            <w:proofErr w:type="spellStart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Cystine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240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50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0.21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L-</w:t>
            </w:r>
            <w:proofErr w:type="spellStart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Cystine</w:t>
            </w:r>
            <w:proofErr w:type="spellEnd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2HCl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313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63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0.20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L-Glutamic Acid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147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0.14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L-Glutamine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146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584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4.00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0.10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L-Histidine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155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0.15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L-Histidine hydrochloride-H2O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210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42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0.20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L-</w:t>
            </w:r>
            <w:proofErr w:type="spellStart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Hydroxyproline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131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0.15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L-Isoleucine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131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105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0.80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50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0.38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L-Leucine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131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105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0.80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50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0.38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L-Lysine hydrochloride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183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146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0.80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0.27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L-Methionine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149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30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0.20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0.10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L-Phenylalanine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165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66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0.40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0.091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L-</w:t>
            </w:r>
            <w:proofErr w:type="spellStart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Proline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115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0.17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L-Serine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105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42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0.40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30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0.29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L-Threonine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119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95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0.80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0.17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L-Tryptophan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204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16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0.08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0.025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L-Tyrosine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181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0.11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L-Tyrosine disodium salt </w:t>
            </w:r>
            <w:proofErr w:type="spellStart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dihydrate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261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104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0.40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L-Valine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117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94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0.80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0.17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>Vitamins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FFFFFF"/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FFFFFF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FFFFFF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FFFFFF"/>
                <w:sz w:val="16"/>
                <w:szCs w:val="16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FFFFFF"/>
                <w:sz w:val="16"/>
                <w:szCs w:val="16"/>
              </w:rPr>
            </w:pP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Biotin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244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0.00082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Choline chloride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140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0.029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0.021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D-Calcium </w:t>
            </w:r>
            <w:proofErr w:type="spellStart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pantothenate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477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0.0084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0.3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0.00052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Folic Acid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441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0.0091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0.0023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proofErr w:type="spellStart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Niacinamide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122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0.033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0.0082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Para-</w:t>
            </w:r>
            <w:proofErr w:type="spellStart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Aminobenzoic</w:t>
            </w:r>
            <w:proofErr w:type="spellEnd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Acid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137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0.0073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Pyridoxine hydrochloride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206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0.019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0.0049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Riboflavin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376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0.4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0.0011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0.2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0.00053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Thiamine hydrochloride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337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0.012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0.0030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Vitamin B12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1355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0.0000037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proofErr w:type="spellStart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i</w:t>
            </w:r>
            <w:proofErr w:type="spellEnd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-Inositol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180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7.2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0.040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35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C6E0B4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0.19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>Inorganic Salts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FFFFFF"/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FFFFFF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FFFFFF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FFFFFF"/>
                <w:sz w:val="16"/>
                <w:szCs w:val="16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FFFFFF"/>
                <w:sz w:val="16"/>
                <w:szCs w:val="16"/>
              </w:rPr>
            </w:pP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Calcium Chloride (CaCl2) (</w:t>
            </w:r>
            <w:proofErr w:type="spellStart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anhyd</w:t>
            </w:r>
            <w:proofErr w:type="spellEnd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.)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111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1.80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Calcium nitrate (Ca(NO3)2 4H2O)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236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0.42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Ferric Nitrate (Fe(NO3)3"9H2O)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404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0.1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0.00025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Magnesium </w:t>
            </w:r>
            <w:proofErr w:type="spellStart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Sulfate</w:t>
            </w:r>
            <w:proofErr w:type="spellEnd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(MgSO4) (</w:t>
            </w:r>
            <w:proofErr w:type="spellStart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anhyd</w:t>
            </w:r>
            <w:proofErr w:type="spellEnd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.)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120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97.7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0.81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Magnesium </w:t>
            </w:r>
            <w:proofErr w:type="spellStart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Sulfate</w:t>
            </w:r>
            <w:proofErr w:type="spellEnd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(MgSO4-7H2O)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246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0.41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Potassium Chloride (</w:t>
            </w:r>
            <w:proofErr w:type="spellStart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KCl</w:t>
            </w:r>
            <w:proofErr w:type="spellEnd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75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400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5.33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400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5.33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Sodium Bicarbonate (NaHCO3)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84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3700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44.05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2000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23.81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Sodium Chloride (</w:t>
            </w:r>
            <w:proofErr w:type="spellStart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NaCl</w:t>
            </w:r>
            <w:proofErr w:type="spellEnd"/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58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6400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110.34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5500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94.83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Sodium Phosphate dibasic (Na2HPO4) anhydrous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142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800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5.63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Sodium Phosphate monobasic (NaH2PO4-H2O)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138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125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0.91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F2F2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b/>
                <w:bCs/>
                <w:color w:val="FFFFFF"/>
                <w:sz w:val="16"/>
                <w:szCs w:val="16"/>
              </w:rPr>
              <w:t>Other Components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FFFFFF"/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FFFFFF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FFFFFF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FFFFFF"/>
                <w:sz w:val="16"/>
                <w:szCs w:val="16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808080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FFFFFF"/>
                <w:sz w:val="16"/>
                <w:szCs w:val="16"/>
              </w:rPr>
            </w:pPr>
          </w:p>
        </w:tc>
      </w:tr>
      <w:tr w:rsidR="00CC3046" w:rsidRPr="00807E6F" w:rsidTr="00BB2493">
        <w:trPr>
          <w:trHeight w:val="103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D-Glucose (Dextrose)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180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4500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25.00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2000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11.11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Glutathione (reduced)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307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0.003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HEPES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238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5958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25.03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Phenol Red</w:t>
            </w:r>
          </w:p>
        </w:tc>
        <w:tc>
          <w:tcPr>
            <w:tcW w:w="992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376.4</w:t>
            </w:r>
          </w:p>
        </w:tc>
        <w:tc>
          <w:tcPr>
            <w:tcW w:w="125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15</w:t>
            </w:r>
          </w:p>
        </w:tc>
        <w:tc>
          <w:tcPr>
            <w:tcW w:w="1018" w:type="dxa"/>
            <w:tcBorders>
              <w:top w:val="nil"/>
              <w:left w:val="nil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0.040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0.01</w:t>
            </w:r>
          </w:p>
        </w:tc>
      </w:tr>
      <w:tr w:rsidR="00CC3046" w:rsidRPr="00807E6F" w:rsidTr="00BB2493">
        <w:trPr>
          <w:trHeight w:val="195"/>
        </w:trPr>
        <w:tc>
          <w:tcPr>
            <w:tcW w:w="354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Sodium Pyruvate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110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110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18" w:space="0" w:color="auto"/>
              <w:right w:val="single" w:sz="8" w:space="0" w:color="auto"/>
            </w:tcBorders>
            <w:shd w:val="clear" w:color="000000" w:fill="D9E1F2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807E6F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1.00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36" w:type="dxa"/>
            <w:tcBorders>
              <w:top w:val="nil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CC3046" w:rsidRPr="00807E6F" w:rsidRDefault="00CC3046" w:rsidP="00BB2493">
            <w:pPr>
              <w:spacing w:before="0"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</w:tr>
    </w:tbl>
    <w:p w:rsidR="00CC3046" w:rsidRDefault="00CC3046" w:rsidP="00CC3046"/>
    <w:p w:rsidR="00CC3046" w:rsidRDefault="00CC3046" w:rsidP="00CA74E4">
      <w:r>
        <w:lastRenderedPageBreak/>
        <w:t xml:space="preserve">A range of concentrations of the gentamicin and penicillin mixed treatments </w:t>
      </w:r>
      <w:proofErr w:type="gramStart"/>
      <w:r>
        <w:t>were trailed</w:t>
      </w:r>
      <w:proofErr w:type="gramEnd"/>
      <w:r>
        <w:t xml:space="preserve"> to determine the optimal dose to kill all extracellular bacteria.  The strongest concentration of both gentamicin (200 µg/mL) and penicillin (100 µg/mL) was the only combination that resulted in no viable bacteria after treatment in the media and washes (0 </w:t>
      </w:r>
      <w:proofErr w:type="spellStart"/>
      <w:r>
        <w:t>cfu</w:t>
      </w:r>
      <w:proofErr w:type="spellEnd"/>
      <w:r>
        <w:t>/mL) and in the biofilm survival (negative overnight growth) (</w:t>
      </w:r>
      <w:r w:rsidR="00E27991" w:rsidRPr="00E27991">
        <w:rPr>
          <w:szCs w:val="24"/>
        </w:rPr>
        <w:fldChar w:fldCharType="begin"/>
      </w:r>
      <w:r w:rsidR="00E27991" w:rsidRPr="00E27991">
        <w:rPr>
          <w:szCs w:val="24"/>
        </w:rPr>
        <w:instrText xml:space="preserve"> REF _Ref47800506 \h  \* MERGEFORMAT </w:instrText>
      </w:r>
      <w:r w:rsidR="00E27991" w:rsidRPr="00E27991">
        <w:rPr>
          <w:szCs w:val="24"/>
        </w:rPr>
      </w:r>
      <w:r w:rsidR="00E27991" w:rsidRPr="00E27991">
        <w:rPr>
          <w:szCs w:val="24"/>
        </w:rPr>
        <w:fldChar w:fldCharType="separate"/>
      </w:r>
      <w:r w:rsidR="00E27991" w:rsidRPr="00E27991">
        <w:rPr>
          <w:b/>
          <w:bCs/>
          <w:color w:val="000000" w:themeColor="text1"/>
          <w:szCs w:val="24"/>
        </w:rPr>
        <w:t xml:space="preserve">Table S3.1 </w:t>
      </w:r>
      <w:r w:rsidR="00E27991" w:rsidRPr="00E27991">
        <w:rPr>
          <w:b/>
          <w:bCs/>
          <w:noProof/>
          <w:color w:val="000000" w:themeColor="text1"/>
          <w:szCs w:val="24"/>
        </w:rPr>
        <w:t>2</w:t>
      </w:r>
      <w:r w:rsidR="00E27991" w:rsidRPr="00E27991">
        <w:rPr>
          <w:szCs w:val="24"/>
        </w:rPr>
        <w:fldChar w:fldCharType="end"/>
      </w:r>
      <w:r>
        <w:t>).  The other treatments showed a large decrease of viable bacteria compared to the control, reaching between 3.6-4.9 log reductions, however viable bacteria was still present (</w:t>
      </w:r>
      <w:r w:rsidR="00E27991" w:rsidRPr="00E27991">
        <w:rPr>
          <w:szCs w:val="24"/>
        </w:rPr>
        <w:fldChar w:fldCharType="begin"/>
      </w:r>
      <w:r w:rsidR="00E27991" w:rsidRPr="00E27991">
        <w:rPr>
          <w:szCs w:val="24"/>
        </w:rPr>
        <w:instrText xml:space="preserve"> REF _Ref47800506 \h  \* MERGEFORMAT </w:instrText>
      </w:r>
      <w:r w:rsidR="00E27991" w:rsidRPr="00E27991">
        <w:rPr>
          <w:szCs w:val="24"/>
        </w:rPr>
      </w:r>
      <w:r w:rsidR="00E27991" w:rsidRPr="00E27991">
        <w:rPr>
          <w:szCs w:val="24"/>
        </w:rPr>
        <w:fldChar w:fldCharType="separate"/>
      </w:r>
      <w:r w:rsidR="00E27991" w:rsidRPr="00E27991">
        <w:rPr>
          <w:b/>
          <w:bCs/>
          <w:color w:val="000000" w:themeColor="text1"/>
          <w:szCs w:val="24"/>
        </w:rPr>
        <w:t xml:space="preserve">Table S3.1 </w:t>
      </w:r>
      <w:r w:rsidR="00E27991" w:rsidRPr="00E27991">
        <w:rPr>
          <w:b/>
          <w:bCs/>
          <w:noProof/>
          <w:color w:val="000000" w:themeColor="text1"/>
          <w:szCs w:val="24"/>
        </w:rPr>
        <w:t>2</w:t>
      </w:r>
      <w:r w:rsidR="00E27991" w:rsidRPr="00E27991">
        <w:rPr>
          <w:szCs w:val="24"/>
        </w:rPr>
        <w:fldChar w:fldCharType="end"/>
      </w:r>
      <w:r>
        <w:t>).  There was evidence of viable bacteria within the remaining biofilms after the treatments containing a low concentration of penicillin (5</w:t>
      </w:r>
      <w:r w:rsidRPr="0092774A">
        <w:t xml:space="preserve"> </w:t>
      </w:r>
      <w:r>
        <w:t>µg/mL) with some visible growth evident in the overnight broth culture after treatment (</w:t>
      </w:r>
      <w:r w:rsidR="00E27991" w:rsidRPr="00E27991">
        <w:rPr>
          <w:szCs w:val="24"/>
        </w:rPr>
        <w:fldChar w:fldCharType="begin"/>
      </w:r>
      <w:r w:rsidR="00E27991" w:rsidRPr="00E27991">
        <w:rPr>
          <w:szCs w:val="24"/>
        </w:rPr>
        <w:instrText xml:space="preserve"> REF _Ref47800506 \h  \* MERGEFORMAT </w:instrText>
      </w:r>
      <w:r w:rsidR="00E27991" w:rsidRPr="00E27991">
        <w:rPr>
          <w:szCs w:val="24"/>
        </w:rPr>
      </w:r>
      <w:r w:rsidR="00E27991" w:rsidRPr="00E27991">
        <w:rPr>
          <w:szCs w:val="24"/>
        </w:rPr>
        <w:fldChar w:fldCharType="separate"/>
      </w:r>
      <w:r w:rsidR="00E27991" w:rsidRPr="00E27991">
        <w:rPr>
          <w:b/>
          <w:bCs/>
          <w:color w:val="000000" w:themeColor="text1"/>
          <w:szCs w:val="24"/>
        </w:rPr>
        <w:t xml:space="preserve">Table S3.1 </w:t>
      </w:r>
      <w:r w:rsidR="00E27991" w:rsidRPr="00E27991">
        <w:rPr>
          <w:b/>
          <w:bCs/>
          <w:noProof/>
          <w:color w:val="000000" w:themeColor="text1"/>
          <w:szCs w:val="24"/>
        </w:rPr>
        <w:t>2</w:t>
      </w:r>
      <w:r w:rsidR="00E27991" w:rsidRPr="00E27991">
        <w:rPr>
          <w:szCs w:val="24"/>
        </w:rPr>
        <w:fldChar w:fldCharType="end"/>
      </w:r>
      <w:r>
        <w:t xml:space="preserve">).   The high levels of gentamicin and penicillin needed to ensure no viable extracellular bacteria remained was in contrast with other studies using either only penicillin at 2 </w:t>
      </w:r>
      <w:r>
        <w:rPr>
          <w:rFonts w:cstheme="minorHAnsi"/>
        </w:rPr>
        <w:t>µ</w:t>
      </w:r>
      <w:r>
        <w:t xml:space="preserve">g/mL or both penicillin and gentamicin at 5 and 200 </w:t>
      </w:r>
      <w:r>
        <w:rPr>
          <w:rFonts w:cstheme="minorHAnsi"/>
        </w:rPr>
        <w:t>µ</w:t>
      </w:r>
      <w:r>
        <w:t>g/mL respectively</w:t>
      </w:r>
      <w:r w:rsidR="00CA74E4">
        <w:t xml:space="preserve"> </w:t>
      </w:r>
      <w:r w:rsidR="00CA74E4">
        <w:fldChar w:fldCharType="begin">
          <w:fldData xml:space="preserve">PEVuZE5vdGU+PENpdGU+PEF1dGhvcj5Ta2l2ZTwvQXV0aG9yPjxZZWFyPjIwMTc8L1llYXI+PFJl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</w:fldData>
        </w:fldChar>
      </w:r>
      <w:r w:rsidR="00CA74E4">
        <w:instrText xml:space="preserve"> ADDIN EN.CITE </w:instrText>
      </w:r>
      <w:r w:rsidR="00CA74E4">
        <w:fldChar w:fldCharType="begin">
          <w:fldData xml:space="preserve">PEVuZE5vdGU+PENpdGU+PEF1dGhvcj5Ta2l2ZTwvQXV0aG9yPjxZZWFyPjIwMTc8L1llYXI+PFJl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</w:fldData>
        </w:fldChar>
      </w:r>
      <w:r w:rsidR="00CA74E4">
        <w:instrText xml:space="preserve"> ADDIN EN.CITE.DATA </w:instrText>
      </w:r>
      <w:r w:rsidR="00CA74E4">
        <w:fldChar w:fldCharType="end"/>
      </w:r>
      <w:r w:rsidR="00CA74E4">
        <w:fldChar w:fldCharType="separate"/>
      </w:r>
      <w:r w:rsidR="00CA74E4">
        <w:rPr>
          <w:noProof/>
        </w:rPr>
        <w:t>(Skive, Rohde, Molinari, Braunstein, &amp; Bojesen, 2017; Xu, Pei, Su, Ma, &amp; Fan, 2016)</w:t>
      </w:r>
      <w:r w:rsidR="00CA74E4">
        <w:fldChar w:fldCharType="end"/>
      </w:r>
      <w:r w:rsidR="00CA74E4">
        <w:t xml:space="preserve">.  </w:t>
      </w:r>
      <w:r>
        <w:t xml:space="preserve">These studies did not mention testing the killing ability of their concentrations nor </w:t>
      </w:r>
      <w:proofErr w:type="gramStart"/>
      <w:r>
        <w:t>plating out the experiment washes to ensure no extracellular bacteria remained</w:t>
      </w:r>
      <w:proofErr w:type="gramEnd"/>
      <w:r>
        <w:t xml:space="preserve"> viable.</w:t>
      </w:r>
    </w:p>
    <w:p w:rsidR="00E27991" w:rsidRDefault="00E27991" w:rsidP="00E27991"/>
    <w:p w:rsidR="00817AE8" w:rsidRPr="00817AE8" w:rsidRDefault="00817AE8" w:rsidP="00817AE8">
      <w:pPr>
        <w:pStyle w:val="Caption"/>
        <w:keepNext/>
        <w:rPr>
          <w:i w:val="0"/>
          <w:iCs w:val="0"/>
          <w:color w:val="auto"/>
          <w:sz w:val="22"/>
          <w:szCs w:val="22"/>
        </w:rPr>
      </w:pPr>
      <w:bookmarkStart w:id="5" w:name="_Ref47800506"/>
      <w:r w:rsidRPr="00817AE8">
        <w:rPr>
          <w:b/>
          <w:bCs/>
          <w:i w:val="0"/>
          <w:iCs w:val="0"/>
          <w:color w:val="000000" w:themeColor="text1"/>
          <w:sz w:val="22"/>
          <w:szCs w:val="22"/>
        </w:rPr>
        <w:t xml:space="preserve">Table S3.1 </w:t>
      </w:r>
      <w:r w:rsidRPr="00817AE8">
        <w:rPr>
          <w:b/>
          <w:bCs/>
          <w:i w:val="0"/>
          <w:iCs w:val="0"/>
          <w:color w:val="000000" w:themeColor="text1"/>
          <w:sz w:val="22"/>
          <w:szCs w:val="22"/>
        </w:rPr>
        <w:fldChar w:fldCharType="begin"/>
      </w:r>
      <w:r w:rsidRPr="00817AE8">
        <w:rPr>
          <w:b/>
          <w:bCs/>
          <w:i w:val="0"/>
          <w:iCs w:val="0"/>
          <w:color w:val="000000" w:themeColor="text1"/>
          <w:sz w:val="22"/>
          <w:szCs w:val="22"/>
        </w:rPr>
        <w:instrText xml:space="preserve"> SEQ Table_S3.1 \* ARABIC </w:instrText>
      </w:r>
      <w:r w:rsidRPr="00817AE8">
        <w:rPr>
          <w:b/>
          <w:bCs/>
          <w:i w:val="0"/>
          <w:iCs w:val="0"/>
          <w:color w:val="000000" w:themeColor="text1"/>
          <w:sz w:val="22"/>
          <w:szCs w:val="22"/>
        </w:rPr>
        <w:fldChar w:fldCharType="separate"/>
      </w:r>
      <w:r w:rsidR="00E27991">
        <w:rPr>
          <w:b/>
          <w:bCs/>
          <w:i w:val="0"/>
          <w:iCs w:val="0"/>
          <w:noProof/>
          <w:color w:val="000000" w:themeColor="text1"/>
          <w:sz w:val="22"/>
          <w:szCs w:val="22"/>
        </w:rPr>
        <w:t>2</w:t>
      </w:r>
      <w:r w:rsidRPr="00817AE8">
        <w:rPr>
          <w:b/>
          <w:bCs/>
          <w:i w:val="0"/>
          <w:iCs w:val="0"/>
          <w:color w:val="000000" w:themeColor="text1"/>
          <w:sz w:val="22"/>
          <w:szCs w:val="22"/>
        </w:rPr>
        <w:fldChar w:fldCharType="end"/>
      </w:r>
      <w:bookmarkEnd w:id="5"/>
      <w:r>
        <w:rPr>
          <w:b/>
          <w:bCs/>
          <w:i w:val="0"/>
          <w:iCs w:val="0"/>
          <w:color w:val="000000" w:themeColor="text1"/>
          <w:sz w:val="22"/>
          <w:szCs w:val="22"/>
        </w:rPr>
        <w:t xml:space="preserve">: </w:t>
      </w:r>
      <w:r>
        <w:rPr>
          <w:rFonts w:cstheme="minorHAnsi"/>
          <w:i w:val="0"/>
          <w:iCs w:val="0"/>
          <w:color w:val="auto"/>
          <w:sz w:val="22"/>
          <w:szCs w:val="22"/>
        </w:rPr>
        <w:t>I</w:t>
      </w:r>
      <w:r w:rsidRPr="00F15A7F">
        <w:rPr>
          <w:rFonts w:cstheme="minorHAnsi"/>
          <w:i w:val="0"/>
          <w:iCs w:val="0"/>
          <w:color w:val="auto"/>
          <w:sz w:val="22"/>
          <w:szCs w:val="22"/>
        </w:rPr>
        <w:t xml:space="preserve">nvasion trial of antibiotic treatment concentrations. </w:t>
      </w:r>
    </w:p>
    <w:tbl>
      <w:tblPr>
        <w:tblW w:w="8748" w:type="dxa"/>
        <w:jc w:val="center"/>
        <w:tblLook w:val="04A0" w:firstRow="1" w:lastRow="0" w:firstColumn="1" w:lastColumn="0" w:noHBand="0" w:noVBand="1"/>
      </w:tblPr>
      <w:tblGrid>
        <w:gridCol w:w="1620"/>
        <w:gridCol w:w="1044"/>
        <w:gridCol w:w="1232"/>
        <w:gridCol w:w="1560"/>
        <w:gridCol w:w="1047"/>
        <w:gridCol w:w="1210"/>
        <w:gridCol w:w="1035"/>
      </w:tblGrid>
      <w:tr w:rsidR="00CC3046" w:rsidRPr="007C5FDA" w:rsidTr="00BB2493">
        <w:trPr>
          <w:trHeight w:val="751"/>
          <w:jc w:val="center"/>
        </w:trPr>
        <w:tc>
          <w:tcPr>
            <w:tcW w:w="162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  <w:t>Treatment</w:t>
            </w:r>
          </w:p>
        </w:tc>
        <w:tc>
          <w:tcPr>
            <w:tcW w:w="104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  <w:t>penicillin (</w:t>
            </w:r>
            <w:proofErr w:type="spellStart"/>
            <w:r w:rsidRPr="007C5FDA"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  <w:t>ug</w:t>
            </w:r>
            <w:proofErr w:type="spellEnd"/>
            <w:r w:rsidRPr="007C5FDA"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  <w:t>/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  <w:t>mL</w:t>
            </w:r>
            <w:r w:rsidRPr="007C5FDA"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  <w:t>)</w:t>
            </w:r>
          </w:p>
        </w:tc>
        <w:tc>
          <w:tcPr>
            <w:tcW w:w="123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  <w:t>gentamicin  (</w:t>
            </w:r>
            <w:proofErr w:type="spellStart"/>
            <w:r w:rsidRPr="007C5FDA"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  <w:t>ug</w:t>
            </w:r>
            <w:proofErr w:type="spellEnd"/>
            <w:r w:rsidRPr="007C5FDA"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  <w:t>/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  <w:t>mL</w:t>
            </w:r>
            <w:r w:rsidRPr="007C5FDA"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  <w:t>)</w:t>
            </w:r>
          </w:p>
        </w:tc>
        <w:tc>
          <w:tcPr>
            <w:tcW w:w="156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  <w:t xml:space="preserve">after treatment </w:t>
            </w:r>
            <w:proofErr w:type="spellStart"/>
            <w:r w:rsidRPr="007C5FDA"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  <w:t>cfu</w:t>
            </w:r>
            <w:proofErr w:type="spellEnd"/>
            <w:r w:rsidRPr="007C5FDA"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  <w:t>/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  <w:t>mL</w:t>
            </w:r>
            <w:r w:rsidRPr="007C5FDA"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  <w:t xml:space="preserve"> (mean)</w:t>
            </w:r>
          </w:p>
        </w:tc>
        <w:tc>
          <w:tcPr>
            <w:tcW w:w="1047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  <w:t>SD</w:t>
            </w:r>
          </w:p>
        </w:tc>
        <w:tc>
          <w:tcPr>
            <w:tcW w:w="121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  <w:t>log reduction^</w:t>
            </w:r>
          </w:p>
        </w:tc>
        <w:tc>
          <w:tcPr>
            <w:tcW w:w="1035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b/>
                <w:bCs/>
                <w:color w:val="000000"/>
                <w:sz w:val="22"/>
              </w:rPr>
              <w:t xml:space="preserve">biofilm survival* </w:t>
            </w:r>
          </w:p>
        </w:tc>
      </w:tr>
      <w:tr w:rsidR="00CC3046" w:rsidRPr="007C5FDA" w:rsidTr="00BB2493">
        <w:trPr>
          <w:trHeight w:val="300"/>
          <w:jc w:val="center"/>
        </w:trPr>
        <w:tc>
          <w:tcPr>
            <w:tcW w:w="16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1</w:t>
            </w:r>
          </w:p>
        </w:tc>
        <w:tc>
          <w:tcPr>
            <w:tcW w:w="104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5</w:t>
            </w:r>
          </w:p>
        </w:tc>
        <w:tc>
          <w:tcPr>
            <w:tcW w:w="123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200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6.44E+02</w:t>
            </w:r>
          </w:p>
        </w:tc>
        <w:tc>
          <w:tcPr>
            <w:tcW w:w="1047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3.15E+02</w:t>
            </w:r>
          </w:p>
        </w:tc>
        <w:tc>
          <w:tcPr>
            <w:tcW w:w="121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4.90</w:t>
            </w:r>
          </w:p>
        </w:tc>
        <w:tc>
          <w:tcPr>
            <w:tcW w:w="103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yes</w:t>
            </w:r>
          </w:p>
        </w:tc>
      </w:tr>
      <w:tr w:rsidR="00CC3046" w:rsidRPr="007C5FDA" w:rsidTr="00BB2493">
        <w:trPr>
          <w:trHeight w:val="300"/>
          <w:jc w:val="center"/>
        </w:trPr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2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5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100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2.84E+03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3.79E+02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4.26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yes</w:t>
            </w:r>
          </w:p>
        </w:tc>
      </w:tr>
      <w:tr w:rsidR="00CC3046" w:rsidRPr="007C5FDA" w:rsidTr="00BB2493">
        <w:trPr>
          <w:trHeight w:val="300"/>
          <w:jc w:val="center"/>
        </w:trPr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3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100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50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1.29E+04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5.34E+03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3.60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no</w:t>
            </w:r>
          </w:p>
        </w:tc>
      </w:tr>
      <w:tr w:rsidR="00CC3046" w:rsidRPr="007C5FDA" w:rsidTr="00BB2493">
        <w:trPr>
          <w:trHeight w:val="300"/>
          <w:jc w:val="center"/>
        </w:trPr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4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100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200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7.71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no</w:t>
            </w:r>
          </w:p>
        </w:tc>
      </w:tr>
      <w:tr w:rsidR="00CC3046" w:rsidRPr="007C5FDA" w:rsidTr="00BB2493">
        <w:trPr>
          <w:trHeight w:val="300"/>
          <w:jc w:val="center"/>
        </w:trPr>
        <w:tc>
          <w:tcPr>
            <w:tcW w:w="1620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growth control</w:t>
            </w:r>
          </w:p>
        </w:tc>
        <w:tc>
          <w:tcPr>
            <w:tcW w:w="104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0</w:t>
            </w:r>
          </w:p>
        </w:tc>
        <w:tc>
          <w:tcPr>
            <w:tcW w:w="12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5.14E+07</w:t>
            </w:r>
          </w:p>
        </w:tc>
        <w:tc>
          <w:tcPr>
            <w:tcW w:w="104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3.89E+07</w:t>
            </w:r>
          </w:p>
        </w:tc>
        <w:tc>
          <w:tcPr>
            <w:tcW w:w="121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</w:p>
        </w:tc>
        <w:tc>
          <w:tcPr>
            <w:tcW w:w="103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yes</w:t>
            </w:r>
          </w:p>
        </w:tc>
      </w:tr>
      <w:tr w:rsidR="00CC3046" w:rsidRPr="007C5FDA" w:rsidTr="00BB2493">
        <w:trPr>
          <w:trHeight w:val="300"/>
          <w:jc w:val="center"/>
        </w:trPr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sterility control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</w:p>
        </w:tc>
        <w:tc>
          <w:tcPr>
            <w:tcW w:w="103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C5FDA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C5FDA">
              <w:rPr>
                <w:rFonts w:ascii="Calibri" w:eastAsia="Times New Roman" w:hAnsi="Calibri" w:cs="Calibri"/>
                <w:color w:val="000000"/>
                <w:sz w:val="22"/>
              </w:rPr>
              <w:t>no</w:t>
            </w:r>
          </w:p>
        </w:tc>
      </w:tr>
    </w:tbl>
    <w:p w:rsidR="00E27991" w:rsidRDefault="00E27991" w:rsidP="00E27991">
      <w:pPr>
        <w:spacing w:line="240" w:lineRule="auto"/>
        <w:rPr>
          <w:rFonts w:cstheme="minorHAnsi"/>
          <w:sz w:val="22"/>
        </w:rPr>
      </w:pPr>
      <w:r w:rsidRPr="00E27991">
        <w:rPr>
          <w:rFonts w:cstheme="minorHAnsi"/>
          <w:sz w:val="22"/>
        </w:rPr>
        <w:t xml:space="preserve">^Log reduction = </w:t>
      </w:r>
      <w:proofErr w:type="gramStart"/>
      <w:r w:rsidRPr="00E27991">
        <w:rPr>
          <w:rFonts w:cstheme="minorHAnsi"/>
          <w:sz w:val="22"/>
        </w:rPr>
        <w:t>log(</w:t>
      </w:r>
      <w:proofErr w:type="gramEnd"/>
      <w:r w:rsidRPr="00E27991">
        <w:rPr>
          <w:rFonts w:cstheme="minorHAnsi"/>
          <w:sz w:val="22"/>
        </w:rPr>
        <w:t xml:space="preserve">viable bacteria in growth control/viable bacteria after treatment). *positive overnight growth of adhered cells after treatment and washes.  Strain trialled: WK15144_2, szp-39.  SD is the standard deviation of </w:t>
      </w:r>
      <w:proofErr w:type="gramStart"/>
      <w:r w:rsidRPr="00E27991">
        <w:rPr>
          <w:rFonts w:cstheme="minorHAnsi"/>
          <w:sz w:val="22"/>
        </w:rPr>
        <w:t>3</w:t>
      </w:r>
      <w:proofErr w:type="gramEnd"/>
      <w:r w:rsidRPr="00E27991">
        <w:rPr>
          <w:rFonts w:cstheme="minorHAnsi"/>
          <w:sz w:val="22"/>
        </w:rPr>
        <w:t xml:space="preserve"> replicates.</w:t>
      </w:r>
    </w:p>
    <w:p w:rsidR="00E27991" w:rsidRPr="00E27991" w:rsidRDefault="00E27991" w:rsidP="00E27991">
      <w:pPr>
        <w:spacing w:line="240" w:lineRule="auto"/>
        <w:rPr>
          <w:rFonts w:cstheme="minorHAnsi"/>
          <w:sz w:val="22"/>
        </w:rPr>
      </w:pPr>
    </w:p>
    <w:p w:rsidR="00CC3046" w:rsidRDefault="00CC3046" w:rsidP="00E27991">
      <w:r>
        <w:t xml:space="preserve">To ensure optimal retrieval of viable bacteria from the mammalian cells, several lysis buffers were trialled and compared to PBS.  Although there was very little change with respect to a </w:t>
      </w:r>
      <w:r>
        <w:lastRenderedPageBreak/>
        <w:t>log change, a fold change revealed some improvements to the PBS control (</w:t>
      </w:r>
      <w:r w:rsidR="00E27991" w:rsidRPr="00E27991">
        <w:rPr>
          <w:szCs w:val="24"/>
        </w:rPr>
        <w:fldChar w:fldCharType="begin"/>
      </w:r>
      <w:r w:rsidR="00E27991" w:rsidRPr="00E27991">
        <w:rPr>
          <w:szCs w:val="24"/>
        </w:rPr>
        <w:instrText xml:space="preserve"> REF _Ref47800537 \h  \* MERGEFORMAT </w:instrText>
      </w:r>
      <w:r w:rsidR="00E27991" w:rsidRPr="00E27991">
        <w:rPr>
          <w:szCs w:val="24"/>
        </w:rPr>
      </w:r>
      <w:r w:rsidR="00E27991" w:rsidRPr="00E27991">
        <w:rPr>
          <w:szCs w:val="24"/>
        </w:rPr>
        <w:fldChar w:fldCharType="separate"/>
      </w:r>
      <w:r w:rsidR="00E27991" w:rsidRPr="00E27991">
        <w:rPr>
          <w:b/>
          <w:bCs/>
          <w:color w:val="000000" w:themeColor="text1"/>
          <w:szCs w:val="24"/>
        </w:rPr>
        <w:t xml:space="preserve">Table S3.1 </w:t>
      </w:r>
      <w:r w:rsidR="00E27991" w:rsidRPr="00E27991">
        <w:rPr>
          <w:b/>
          <w:bCs/>
          <w:noProof/>
          <w:color w:val="000000" w:themeColor="text1"/>
          <w:szCs w:val="24"/>
        </w:rPr>
        <w:t>3</w:t>
      </w:r>
      <w:r w:rsidR="00E27991" w:rsidRPr="00E27991">
        <w:rPr>
          <w:szCs w:val="24"/>
        </w:rPr>
        <w:fldChar w:fldCharType="end"/>
      </w:r>
      <w:r w:rsidRPr="00E27991">
        <w:rPr>
          <w:szCs w:val="24"/>
        </w:rPr>
        <w:t>)</w:t>
      </w:r>
      <w:r>
        <w:t xml:space="preserve">.  In the </w:t>
      </w:r>
      <w:r w:rsidRPr="004863CE">
        <w:t>equine</w:t>
      </w:r>
      <w:r>
        <w:t xml:space="preserve"> dermal fibroblast cells, ddH</w:t>
      </w:r>
      <w:r w:rsidRPr="003303C8">
        <w:rPr>
          <w:vertAlign w:val="subscript"/>
        </w:rPr>
        <w:t>2</w:t>
      </w:r>
      <w:r>
        <w:t>O had a 5.67 fold increase in the number of viable bacteria retrieved from the PBS control.  In the A549 cells, ddH</w:t>
      </w:r>
      <w:r w:rsidRPr="003303C8">
        <w:rPr>
          <w:vertAlign w:val="subscript"/>
        </w:rPr>
        <w:t>2</w:t>
      </w:r>
      <w:r>
        <w:t>O had virtually no change from the PBS control but a slightly higher amount retrieved with deionised H</w:t>
      </w:r>
      <w:r w:rsidRPr="003303C8">
        <w:rPr>
          <w:vertAlign w:val="subscript"/>
        </w:rPr>
        <w:t>2</w:t>
      </w:r>
      <w:r>
        <w:t>O.  In both mammalian cells lines, water had the greatest retrieval of viable bacteria.  It was suspected that deionised H</w:t>
      </w:r>
      <w:r w:rsidRPr="008B295E">
        <w:rPr>
          <w:vertAlign w:val="subscript"/>
        </w:rPr>
        <w:t>2</w:t>
      </w:r>
      <w:r>
        <w:t>O would have a greater hypotonic lysis effect on the cells than ddH</w:t>
      </w:r>
      <w:r w:rsidRPr="008B295E">
        <w:rPr>
          <w:vertAlign w:val="subscript"/>
        </w:rPr>
        <w:t>2</w:t>
      </w:r>
      <w:r>
        <w:t xml:space="preserve">O with a greater release of bacteria and for this </w:t>
      </w:r>
      <w:proofErr w:type="gramStart"/>
      <w:r>
        <w:t>reason</w:t>
      </w:r>
      <w:proofErr w:type="gramEnd"/>
      <w:r>
        <w:t xml:space="preserve"> it was used in the final lysis protocol for the invasion assay.  All lysis buffers formed a sticky aggregate but the </w:t>
      </w:r>
      <w:proofErr w:type="spellStart"/>
      <w:r>
        <w:t>saponin</w:t>
      </w:r>
      <w:proofErr w:type="spellEnd"/>
      <w:r>
        <w:t xml:space="preserve"> and </w:t>
      </w:r>
      <w:r w:rsidRPr="00A251B7">
        <w:t>Triton® X-</w:t>
      </w:r>
      <w:proofErr w:type="gramStart"/>
      <w:r w:rsidRPr="00A251B7">
        <w:t xml:space="preserve">100 </w:t>
      </w:r>
      <w:r>
        <w:t xml:space="preserve"> aggregate</w:t>
      </w:r>
      <w:proofErr w:type="gramEnd"/>
      <w:r>
        <w:t xml:space="preserve"> was very hard to completely </w:t>
      </w:r>
      <w:proofErr w:type="spellStart"/>
      <w:r>
        <w:t>resuspend</w:t>
      </w:r>
      <w:proofErr w:type="spellEnd"/>
      <w:r>
        <w:t xml:space="preserve"> and may be the reason for the reduced retrieval of viable bacteria and therefore not used in further assays (</w:t>
      </w:r>
      <w:r w:rsidR="00E27991" w:rsidRPr="00E27991">
        <w:rPr>
          <w:b/>
          <w:bCs/>
          <w:szCs w:val="24"/>
        </w:rPr>
        <w:fldChar w:fldCharType="begin"/>
      </w:r>
      <w:r w:rsidR="00E27991" w:rsidRPr="00E27991">
        <w:rPr>
          <w:b/>
          <w:bCs/>
          <w:szCs w:val="24"/>
        </w:rPr>
        <w:instrText xml:space="preserve"> REF _Ref47800537 \h  \* MERGEFORMAT </w:instrText>
      </w:r>
      <w:r w:rsidR="00E27991" w:rsidRPr="00E27991">
        <w:rPr>
          <w:b/>
          <w:bCs/>
          <w:szCs w:val="24"/>
        </w:rPr>
      </w:r>
      <w:r w:rsidR="00E27991" w:rsidRPr="00E27991">
        <w:rPr>
          <w:b/>
          <w:bCs/>
          <w:szCs w:val="24"/>
        </w:rPr>
        <w:fldChar w:fldCharType="separate"/>
      </w:r>
      <w:r w:rsidR="00E27991" w:rsidRPr="00E27991">
        <w:rPr>
          <w:b/>
          <w:bCs/>
          <w:color w:val="000000" w:themeColor="text1"/>
          <w:szCs w:val="24"/>
        </w:rPr>
        <w:t xml:space="preserve">Table S3.1 </w:t>
      </w:r>
      <w:r w:rsidR="00E27991" w:rsidRPr="00E27991">
        <w:rPr>
          <w:b/>
          <w:bCs/>
          <w:noProof/>
          <w:color w:val="000000" w:themeColor="text1"/>
          <w:szCs w:val="24"/>
        </w:rPr>
        <w:t>3</w:t>
      </w:r>
      <w:r w:rsidR="00E27991" w:rsidRPr="00E27991">
        <w:rPr>
          <w:b/>
          <w:bCs/>
          <w:szCs w:val="24"/>
        </w:rPr>
        <w:fldChar w:fldCharType="end"/>
      </w:r>
      <w:r>
        <w:t>).</w:t>
      </w:r>
    </w:p>
    <w:p w:rsidR="00CC3046" w:rsidRDefault="00CC3046" w:rsidP="00CC3046"/>
    <w:p w:rsidR="00E27991" w:rsidRPr="00E27991" w:rsidRDefault="00E27991" w:rsidP="00E27991">
      <w:pPr>
        <w:pStyle w:val="Caption"/>
        <w:keepNext/>
        <w:rPr>
          <w:i w:val="0"/>
          <w:iCs w:val="0"/>
          <w:color w:val="auto"/>
          <w:sz w:val="22"/>
          <w:szCs w:val="22"/>
        </w:rPr>
      </w:pPr>
      <w:bookmarkStart w:id="6" w:name="_Ref47800537"/>
      <w:r w:rsidRPr="00E27991">
        <w:rPr>
          <w:b/>
          <w:bCs/>
          <w:i w:val="0"/>
          <w:iCs w:val="0"/>
          <w:color w:val="000000" w:themeColor="text1"/>
          <w:sz w:val="22"/>
          <w:szCs w:val="22"/>
        </w:rPr>
        <w:t xml:space="preserve">Table S3.1 </w:t>
      </w:r>
      <w:r w:rsidRPr="00E27991">
        <w:rPr>
          <w:b/>
          <w:bCs/>
          <w:i w:val="0"/>
          <w:iCs w:val="0"/>
          <w:color w:val="000000" w:themeColor="text1"/>
          <w:sz w:val="22"/>
          <w:szCs w:val="22"/>
        </w:rPr>
        <w:fldChar w:fldCharType="begin"/>
      </w:r>
      <w:r w:rsidRPr="00E27991">
        <w:rPr>
          <w:b/>
          <w:bCs/>
          <w:i w:val="0"/>
          <w:iCs w:val="0"/>
          <w:color w:val="000000" w:themeColor="text1"/>
          <w:sz w:val="22"/>
          <w:szCs w:val="22"/>
        </w:rPr>
        <w:instrText xml:space="preserve"> SEQ Table_S3.1 \* ARABIC </w:instrText>
      </w:r>
      <w:r w:rsidRPr="00E27991">
        <w:rPr>
          <w:b/>
          <w:bCs/>
          <w:i w:val="0"/>
          <w:iCs w:val="0"/>
          <w:color w:val="000000" w:themeColor="text1"/>
          <w:sz w:val="22"/>
          <w:szCs w:val="22"/>
        </w:rPr>
        <w:fldChar w:fldCharType="separate"/>
      </w:r>
      <w:r w:rsidRPr="00E27991">
        <w:rPr>
          <w:b/>
          <w:bCs/>
          <w:i w:val="0"/>
          <w:iCs w:val="0"/>
          <w:noProof/>
          <w:color w:val="000000" w:themeColor="text1"/>
          <w:sz w:val="22"/>
          <w:szCs w:val="22"/>
        </w:rPr>
        <w:t>3</w:t>
      </w:r>
      <w:r w:rsidRPr="00E27991">
        <w:rPr>
          <w:b/>
          <w:bCs/>
          <w:i w:val="0"/>
          <w:iCs w:val="0"/>
          <w:color w:val="000000" w:themeColor="text1"/>
          <w:sz w:val="22"/>
          <w:szCs w:val="22"/>
        </w:rPr>
        <w:fldChar w:fldCharType="end"/>
      </w:r>
      <w:bookmarkEnd w:id="6"/>
      <w:r>
        <w:rPr>
          <w:b/>
          <w:bCs/>
          <w:i w:val="0"/>
          <w:iCs w:val="0"/>
          <w:color w:val="000000" w:themeColor="text1"/>
          <w:sz w:val="22"/>
          <w:szCs w:val="22"/>
        </w:rPr>
        <w:t xml:space="preserve">: </w:t>
      </w:r>
      <w:bookmarkStart w:id="7" w:name="_Toc47447929"/>
      <w:r>
        <w:rPr>
          <w:rFonts w:cstheme="minorHAnsi"/>
          <w:i w:val="0"/>
          <w:iCs w:val="0"/>
          <w:color w:val="auto"/>
          <w:sz w:val="22"/>
          <w:szCs w:val="22"/>
        </w:rPr>
        <w:t>Invasion</w:t>
      </w:r>
      <w:r w:rsidRPr="00734001">
        <w:rPr>
          <w:rFonts w:cstheme="minorHAnsi"/>
          <w:i w:val="0"/>
          <w:iCs w:val="0"/>
          <w:color w:val="auto"/>
          <w:sz w:val="22"/>
          <w:szCs w:val="22"/>
        </w:rPr>
        <w:t xml:space="preserve"> lysis buffer trial.  </w:t>
      </w:r>
      <w:bookmarkEnd w:id="7"/>
    </w:p>
    <w:tbl>
      <w:tblPr>
        <w:tblW w:w="8820" w:type="dxa"/>
        <w:jc w:val="center"/>
        <w:tblLayout w:type="fixed"/>
        <w:tblLook w:val="04A0" w:firstRow="1" w:lastRow="0" w:firstColumn="1" w:lastColumn="0" w:noHBand="0" w:noVBand="1"/>
      </w:tblPr>
      <w:tblGrid>
        <w:gridCol w:w="1560"/>
        <w:gridCol w:w="1134"/>
        <w:gridCol w:w="1275"/>
        <w:gridCol w:w="1134"/>
        <w:gridCol w:w="284"/>
        <w:gridCol w:w="1134"/>
        <w:gridCol w:w="1165"/>
        <w:gridCol w:w="1134"/>
      </w:tblGrid>
      <w:tr w:rsidR="00CC3046" w:rsidRPr="00734001" w:rsidTr="00BB2493">
        <w:trPr>
          <w:trHeight w:val="300"/>
          <w:jc w:val="center"/>
        </w:trPr>
        <w:tc>
          <w:tcPr>
            <w:tcW w:w="1560" w:type="dxa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Cs w:val="24"/>
              </w:rPr>
            </w:pP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734001">
              <w:rPr>
                <w:rFonts w:ascii="Calibri" w:eastAsia="Times New Roman" w:hAnsi="Calibri" w:cs="Calibri"/>
                <w:b/>
                <w:bCs/>
                <w:color w:val="000000"/>
              </w:rPr>
              <w:t>eqDF</w:t>
            </w:r>
            <w:proofErr w:type="spellEnd"/>
          </w:p>
        </w:tc>
        <w:tc>
          <w:tcPr>
            <w:tcW w:w="284" w:type="dxa"/>
            <w:tcBorders>
              <w:top w:val="single" w:sz="12" w:space="0" w:color="auto"/>
              <w:left w:val="nil"/>
              <w:right w:val="nil"/>
            </w:tcBorders>
          </w:tcPr>
          <w:p w:rsidR="00CC3046" w:rsidRPr="00734001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33" w:type="dxa"/>
            <w:gridSpan w:val="3"/>
            <w:tcBorders>
              <w:top w:val="single" w:sz="12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734001">
              <w:rPr>
                <w:rFonts w:ascii="Calibri" w:eastAsia="Times New Roman" w:hAnsi="Calibri" w:cs="Calibri"/>
                <w:b/>
                <w:bCs/>
                <w:color w:val="000000"/>
              </w:rPr>
              <w:t>A549</w:t>
            </w:r>
          </w:p>
        </w:tc>
      </w:tr>
      <w:tr w:rsidR="00CC3046" w:rsidRPr="00734001" w:rsidTr="00BB2493">
        <w:trPr>
          <w:trHeight w:val="645"/>
          <w:jc w:val="center"/>
        </w:trPr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734001">
              <w:rPr>
                <w:rFonts w:ascii="Calibri" w:eastAsia="Times New Roman" w:hAnsi="Calibri" w:cs="Calibri"/>
                <w:b/>
                <w:bCs/>
                <w:color w:val="000000"/>
              </w:rPr>
              <w:t>Lysis buffer</w:t>
            </w:r>
          </w:p>
        </w:tc>
        <w:tc>
          <w:tcPr>
            <w:tcW w:w="1134" w:type="dxa"/>
            <w:tcBorders>
              <w:top w:val="single" w:sz="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734001">
              <w:rPr>
                <w:rFonts w:ascii="Calibri" w:eastAsia="Times New Roman" w:hAnsi="Calibri" w:cs="Calibri"/>
                <w:b/>
                <w:bCs/>
                <w:color w:val="000000"/>
              </w:rPr>
              <w:t>cfu</w:t>
            </w:r>
            <w:proofErr w:type="spellEnd"/>
            <w:r w:rsidRPr="00734001">
              <w:rPr>
                <w:rFonts w:ascii="Calibri" w:eastAsia="Times New Roman" w:hAnsi="Calibri" w:cs="Calibri"/>
                <w:b/>
                <w:bCs/>
                <w:color w:val="000000"/>
              </w:rPr>
              <w:t>/</w:t>
            </w: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mL</w:t>
            </w:r>
          </w:p>
        </w:tc>
        <w:tc>
          <w:tcPr>
            <w:tcW w:w="1275" w:type="dxa"/>
            <w:tcBorders>
              <w:top w:val="single" w:sz="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734001">
              <w:rPr>
                <w:rFonts w:ascii="Calibri" w:eastAsia="Times New Roman" w:hAnsi="Calibri" w:cs="Calibri"/>
                <w:b/>
                <w:bCs/>
                <w:color w:val="000000"/>
              </w:rPr>
              <w:t>log increase^</w:t>
            </w:r>
          </w:p>
        </w:tc>
        <w:tc>
          <w:tcPr>
            <w:tcW w:w="1134" w:type="dxa"/>
            <w:tcBorders>
              <w:top w:val="single" w:sz="2" w:space="0" w:color="auto"/>
              <w:left w:val="nil"/>
              <w:bottom w:val="single" w:sz="8" w:space="0" w:color="auto"/>
            </w:tcBorders>
            <w:shd w:val="clear" w:color="auto" w:fill="auto"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734001">
              <w:rPr>
                <w:rFonts w:ascii="Calibri" w:eastAsia="Times New Roman" w:hAnsi="Calibri" w:cs="Calibri"/>
                <w:b/>
                <w:bCs/>
                <w:color w:val="000000"/>
              </w:rPr>
              <w:t>fold change*</w:t>
            </w:r>
          </w:p>
        </w:tc>
        <w:tc>
          <w:tcPr>
            <w:tcW w:w="284" w:type="dxa"/>
            <w:tcBorders>
              <w:top w:val="nil"/>
              <w:bottom w:val="single" w:sz="2" w:space="0" w:color="auto"/>
            </w:tcBorders>
          </w:tcPr>
          <w:p w:rsidR="00CC3046" w:rsidRPr="00734001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734001">
              <w:rPr>
                <w:rFonts w:ascii="Calibri" w:eastAsia="Times New Roman" w:hAnsi="Calibri" w:cs="Calibri"/>
                <w:b/>
                <w:bCs/>
                <w:color w:val="000000"/>
              </w:rPr>
              <w:t>cfu</w:t>
            </w:r>
            <w:proofErr w:type="spellEnd"/>
            <w:r w:rsidRPr="00734001">
              <w:rPr>
                <w:rFonts w:ascii="Calibri" w:eastAsia="Times New Roman" w:hAnsi="Calibri" w:cs="Calibri"/>
                <w:b/>
                <w:bCs/>
                <w:color w:val="000000"/>
              </w:rPr>
              <w:t>/</w:t>
            </w: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mL</w:t>
            </w:r>
          </w:p>
        </w:tc>
        <w:tc>
          <w:tcPr>
            <w:tcW w:w="1165" w:type="dxa"/>
            <w:tcBorders>
              <w:top w:val="single" w:sz="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734001">
              <w:rPr>
                <w:rFonts w:ascii="Calibri" w:eastAsia="Times New Roman" w:hAnsi="Calibri" w:cs="Calibri"/>
                <w:b/>
                <w:bCs/>
                <w:color w:val="000000"/>
              </w:rPr>
              <w:t>log increase^</w:t>
            </w:r>
          </w:p>
        </w:tc>
        <w:tc>
          <w:tcPr>
            <w:tcW w:w="1134" w:type="dxa"/>
            <w:tcBorders>
              <w:top w:val="single" w:sz="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734001">
              <w:rPr>
                <w:rFonts w:ascii="Calibri" w:eastAsia="Times New Roman" w:hAnsi="Calibri" w:cs="Calibri"/>
                <w:b/>
                <w:bCs/>
                <w:color w:val="000000"/>
              </w:rPr>
              <w:t>fold change*</w:t>
            </w:r>
          </w:p>
        </w:tc>
      </w:tr>
      <w:tr w:rsidR="00CC3046" w:rsidRPr="00734001" w:rsidTr="00BB2493">
        <w:trPr>
          <w:trHeight w:val="300"/>
          <w:jc w:val="center"/>
        </w:trPr>
        <w:tc>
          <w:tcPr>
            <w:tcW w:w="15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ddH2O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3.93E+05</w:t>
            </w:r>
          </w:p>
        </w:tc>
        <w:tc>
          <w:tcPr>
            <w:tcW w:w="1275" w:type="dxa"/>
            <w:tcBorders>
              <w:top w:val="single" w:sz="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0.75</w:t>
            </w:r>
          </w:p>
        </w:tc>
        <w:tc>
          <w:tcPr>
            <w:tcW w:w="1134" w:type="dxa"/>
            <w:tcBorders>
              <w:top w:val="single" w:sz="2" w:space="0" w:color="auto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5.67</w:t>
            </w:r>
          </w:p>
        </w:tc>
        <w:tc>
          <w:tcPr>
            <w:tcW w:w="284" w:type="dxa"/>
            <w:tcBorders>
              <w:top w:val="single" w:sz="2" w:space="0" w:color="auto"/>
              <w:bottom w:val="nil"/>
            </w:tcBorders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2.97E+06</w:t>
            </w:r>
          </w:p>
        </w:tc>
        <w:tc>
          <w:tcPr>
            <w:tcW w:w="116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0.01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1.02</w:t>
            </w:r>
          </w:p>
        </w:tc>
      </w:tr>
      <w:tr w:rsidR="00CC3046" w:rsidRPr="00734001" w:rsidTr="00BB2493">
        <w:trPr>
          <w:trHeight w:val="300"/>
          <w:jc w:val="center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</w:rPr>
            </w:pPr>
            <w:r w:rsidRPr="00A251B7">
              <w:t>Triton® X-100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5.30E+04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-0.12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0.76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1.75E+06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-0.22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0.60</w:t>
            </w:r>
          </w:p>
        </w:tc>
      </w:tr>
      <w:tr w:rsidR="00CC3046" w:rsidRPr="00734001" w:rsidTr="00BB2493">
        <w:trPr>
          <w:trHeight w:val="300"/>
          <w:jc w:val="center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734001">
              <w:rPr>
                <w:rFonts w:ascii="Calibri" w:eastAsia="Times New Roman" w:hAnsi="Calibri" w:cs="Calibri"/>
                <w:color w:val="000000"/>
              </w:rPr>
              <w:t>saponin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9.60E+04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0.14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1.39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2.00E+06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-0.16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0.69</w:t>
            </w:r>
          </w:p>
        </w:tc>
      </w:tr>
      <w:tr w:rsidR="00CC3046" w:rsidRPr="00734001" w:rsidTr="00BB2493">
        <w:trPr>
          <w:trHeight w:val="300"/>
          <w:jc w:val="center"/>
        </w:trPr>
        <w:tc>
          <w:tcPr>
            <w:tcW w:w="15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MQH2O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127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3.90E+06</w:t>
            </w:r>
          </w:p>
        </w:tc>
        <w:tc>
          <w:tcPr>
            <w:tcW w:w="116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0.13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1.34</w:t>
            </w:r>
          </w:p>
        </w:tc>
      </w:tr>
      <w:tr w:rsidR="00CC3046" w:rsidRPr="00734001" w:rsidTr="00BB2493">
        <w:trPr>
          <w:trHeight w:val="300"/>
          <w:jc w:val="center"/>
        </w:trPr>
        <w:tc>
          <w:tcPr>
            <w:tcW w:w="15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PBS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6.93E+04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134" w:type="dxa"/>
            <w:tcBorders>
              <w:left w:val="nil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bottom w:val="single" w:sz="12" w:space="0" w:color="auto"/>
            </w:tcBorders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34001">
              <w:rPr>
                <w:rFonts w:ascii="Calibri" w:eastAsia="Times New Roman" w:hAnsi="Calibri" w:cs="Calibri"/>
                <w:color w:val="000000"/>
              </w:rPr>
              <w:t>2.90E+06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3046" w:rsidRPr="00734001" w:rsidRDefault="00CC3046" w:rsidP="00BB2493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CA74E4" w:rsidRDefault="00E27991" w:rsidP="00E27991">
      <w:pPr>
        <w:spacing w:line="240" w:lineRule="auto"/>
        <w:rPr>
          <w:rFonts w:cstheme="minorHAnsi"/>
          <w:sz w:val="22"/>
        </w:rPr>
      </w:pPr>
      <w:r w:rsidRPr="00E27991">
        <w:rPr>
          <w:rFonts w:cstheme="minorHAnsi"/>
          <w:sz w:val="22"/>
        </w:rPr>
        <w:t xml:space="preserve">^log increase = </w:t>
      </w:r>
      <w:proofErr w:type="gramStart"/>
      <w:r w:rsidRPr="00E27991">
        <w:rPr>
          <w:rFonts w:cstheme="minorHAnsi"/>
          <w:sz w:val="22"/>
        </w:rPr>
        <w:t>log(</w:t>
      </w:r>
      <w:proofErr w:type="gramEnd"/>
      <w:r w:rsidRPr="00E27991">
        <w:rPr>
          <w:rFonts w:cstheme="minorHAnsi"/>
          <w:sz w:val="22"/>
        </w:rPr>
        <w:t>viable bacteria of lysis/viable bacteria of PBS control).  *fold change = viable bacteria of lysis/viable bacteria of PBS control.  Strain trialled: WK15092_1, szp-8.</w:t>
      </w:r>
    </w:p>
    <w:p w:rsidR="00CA74E4" w:rsidRDefault="00CA74E4">
      <w:pPr>
        <w:spacing w:before="0" w:after="200" w:line="276" w:lineRule="auto"/>
        <w:jc w:val="left"/>
        <w:rPr>
          <w:rFonts w:cstheme="minorHAnsi"/>
          <w:sz w:val="22"/>
        </w:rPr>
      </w:pPr>
      <w:r>
        <w:rPr>
          <w:rFonts w:cstheme="minorHAnsi"/>
          <w:sz w:val="22"/>
        </w:rPr>
        <w:br w:type="page"/>
      </w:r>
    </w:p>
    <w:p w:rsidR="00CA74E4" w:rsidRDefault="00CA74E4" w:rsidP="00935CC9">
      <w:pPr>
        <w:pStyle w:val="Heading2"/>
      </w:pPr>
      <w:r>
        <w:lastRenderedPageBreak/>
        <w:t>References</w:t>
      </w:r>
    </w:p>
    <w:p w:rsidR="00CA74E4" w:rsidRPr="00CA74E4" w:rsidRDefault="00CA74E4" w:rsidP="00CA74E4">
      <w:pPr>
        <w:pStyle w:val="EndNoteBibliography"/>
        <w:spacing w:after="0"/>
        <w:ind w:left="720" w:hanging="720"/>
      </w:pPr>
      <w:r>
        <w:fldChar w:fldCharType="begin"/>
      </w:r>
      <w:r w:rsidRPr="00670990">
        <w:rPr>
          <w:lang w:val="de-DE"/>
        </w:rPr>
        <w:instrText xml:space="preserve"> ADDIN EN.REFLIST </w:instrText>
      </w:r>
      <w:r>
        <w:fldChar w:fldCharType="separate"/>
      </w:r>
      <w:r w:rsidRPr="00670990">
        <w:rPr>
          <w:lang w:val="de-DE"/>
        </w:rPr>
        <w:t xml:space="preserve">Skive, B., Rohde, M., Molinari, G., Braunstein, T. H., &amp; Bojesen, A. M. (2017). </w:t>
      </w:r>
      <w:r w:rsidRPr="00CA74E4">
        <w:t xml:space="preserve">Streptococcus equi subsp. zooepidemicus Invades and Survives in Epithelial Cells. </w:t>
      </w:r>
      <w:r w:rsidRPr="00CA74E4">
        <w:rPr>
          <w:i/>
        </w:rPr>
        <w:t>Frontiers in cellular and infection microbiology, 7</w:t>
      </w:r>
      <w:r w:rsidRPr="00CA74E4">
        <w:t>, 465-465. doi:10.3389/fcimb.2017.00465</w:t>
      </w:r>
    </w:p>
    <w:p w:rsidR="00CA74E4" w:rsidRPr="00CA74E4" w:rsidRDefault="00CA74E4" w:rsidP="00CA74E4">
      <w:pPr>
        <w:pStyle w:val="EndNoteBibliography"/>
        <w:ind w:left="720" w:hanging="720"/>
      </w:pPr>
      <w:r w:rsidRPr="00CA74E4">
        <w:t xml:space="preserve">Xu, B., Pei, X., Su, Y., Ma, Z., &amp; Fan, H. (2016). Capsule of Streptococcus equi subsp. zooepidemicus hampers the adherence and invasion of epithelial and endothelial cells and is attenuated during internalization. </w:t>
      </w:r>
      <w:r w:rsidRPr="00CA74E4">
        <w:rPr>
          <w:i/>
        </w:rPr>
        <w:t>FEMS Microbiol Lett, 363</w:t>
      </w:r>
      <w:r w:rsidRPr="00CA74E4">
        <w:t>(16). doi:10.1093/femsle/fnw164</w:t>
      </w:r>
    </w:p>
    <w:p w:rsidR="008771CB" w:rsidRPr="00E27991" w:rsidRDefault="00CA74E4" w:rsidP="00CA74E4">
      <w:pPr>
        <w:spacing w:line="240" w:lineRule="auto"/>
      </w:pPr>
      <w:r>
        <w:fldChar w:fldCharType="end"/>
      </w:r>
    </w:p>
    <w:sectPr w:rsidR="008771CB" w:rsidRPr="00E2799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imes New Roman Bold">
    <w:panose1 w:val="020208030705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366919"/>
    <w:multiLevelType w:val="hybridMultilevel"/>
    <w:tmpl w:val="5FD60BEC"/>
    <w:lvl w:ilvl="0" w:tplc="1C0EBD3C">
      <w:start w:val="1"/>
      <w:numFmt w:val="decimal"/>
      <w:lvlText w:val="1.%1"/>
      <w:lvlJc w:val="left"/>
      <w:pPr>
        <w:ind w:left="927" w:hanging="360"/>
      </w:pPr>
      <w:rPr>
        <w:rFonts w:hint="default"/>
      </w:rPr>
    </w:lvl>
    <w:lvl w:ilvl="1" w:tplc="14090019" w:tentative="1">
      <w:start w:val="1"/>
      <w:numFmt w:val="lowerLetter"/>
      <w:lvlText w:val="%2."/>
      <w:lvlJc w:val="left"/>
      <w:pPr>
        <w:ind w:left="2010" w:hanging="360"/>
      </w:pPr>
    </w:lvl>
    <w:lvl w:ilvl="2" w:tplc="1409001B" w:tentative="1">
      <w:start w:val="1"/>
      <w:numFmt w:val="lowerRoman"/>
      <w:lvlText w:val="%3."/>
      <w:lvlJc w:val="right"/>
      <w:pPr>
        <w:ind w:left="2730" w:hanging="180"/>
      </w:pPr>
    </w:lvl>
    <w:lvl w:ilvl="3" w:tplc="1409000F" w:tentative="1">
      <w:start w:val="1"/>
      <w:numFmt w:val="decimal"/>
      <w:lvlText w:val="%4."/>
      <w:lvlJc w:val="left"/>
      <w:pPr>
        <w:ind w:left="3450" w:hanging="360"/>
      </w:pPr>
    </w:lvl>
    <w:lvl w:ilvl="4" w:tplc="14090019" w:tentative="1">
      <w:start w:val="1"/>
      <w:numFmt w:val="lowerLetter"/>
      <w:lvlText w:val="%5."/>
      <w:lvlJc w:val="left"/>
      <w:pPr>
        <w:ind w:left="4170" w:hanging="360"/>
      </w:pPr>
    </w:lvl>
    <w:lvl w:ilvl="5" w:tplc="1409001B" w:tentative="1">
      <w:start w:val="1"/>
      <w:numFmt w:val="lowerRoman"/>
      <w:lvlText w:val="%6."/>
      <w:lvlJc w:val="right"/>
      <w:pPr>
        <w:ind w:left="4890" w:hanging="180"/>
      </w:pPr>
    </w:lvl>
    <w:lvl w:ilvl="6" w:tplc="1409000F" w:tentative="1">
      <w:start w:val="1"/>
      <w:numFmt w:val="decimal"/>
      <w:lvlText w:val="%7."/>
      <w:lvlJc w:val="left"/>
      <w:pPr>
        <w:ind w:left="5610" w:hanging="360"/>
      </w:pPr>
    </w:lvl>
    <w:lvl w:ilvl="7" w:tplc="14090019" w:tentative="1">
      <w:start w:val="1"/>
      <w:numFmt w:val="lowerLetter"/>
      <w:lvlText w:val="%8."/>
      <w:lvlJc w:val="left"/>
      <w:pPr>
        <w:ind w:left="6330" w:hanging="360"/>
      </w:pPr>
    </w:lvl>
    <w:lvl w:ilvl="8" w:tplc="140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 w15:restartNumberingAfterBreak="0">
    <w:nsid w:val="380A1DFA"/>
    <w:multiLevelType w:val="multilevel"/>
    <w:tmpl w:val="4DA878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45A51F1E"/>
    <w:multiLevelType w:val="hybridMultilevel"/>
    <w:tmpl w:val="6ABAF12C"/>
    <w:lvl w:ilvl="0" w:tplc="B812352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14090019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372745"/>
    <w:multiLevelType w:val="multilevel"/>
    <w:tmpl w:val="8B56CD68"/>
    <w:lvl w:ilvl="0">
      <w:start w:val="1"/>
      <w:numFmt w:val="decimal"/>
      <w:pStyle w:val="Heading1"/>
      <w:lvlText w:val="Chapter %1"/>
      <w:lvlJc w:val="center"/>
      <w:pPr>
        <w:ind w:left="360" w:hanging="360"/>
      </w:pPr>
      <w:rPr>
        <w:rFonts w:ascii="Times New Roman Bold" w:hAnsi="Times New Roman Bold" w:hint="default"/>
        <w:b/>
        <w:i w:val="0"/>
        <w:sz w:val="48"/>
      </w:rPr>
    </w:lvl>
    <w:lvl w:ilvl="1">
      <w:start w:val="1"/>
      <w:numFmt w:val="decimal"/>
      <w:pStyle w:val="Heading2"/>
      <w:lvlText w:val="S3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APA 6th&lt;/Style&gt;&lt;LeftDelim&gt;{&lt;/LeftDelim&gt;&lt;RightDelim&gt;}&lt;/RightDelim&gt;&lt;FontName&gt;Calibri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9te2appf00e2v2evx2zv9rsm99zrdprsr202&quot;&gt;Strangles endnote&lt;record-ids&gt;&lt;item&gt;84&lt;/item&gt;&lt;item&gt;110&lt;/item&gt;&lt;/record-ids&gt;&lt;/item&gt;&lt;/Libraries&gt;"/>
  </w:docVars>
  <w:rsids>
    <w:rsidRoot w:val="00CC3046"/>
    <w:rsid w:val="000A723D"/>
    <w:rsid w:val="002E6925"/>
    <w:rsid w:val="004E10C3"/>
    <w:rsid w:val="004F16E9"/>
    <w:rsid w:val="00520745"/>
    <w:rsid w:val="00562DB5"/>
    <w:rsid w:val="00573B53"/>
    <w:rsid w:val="00670990"/>
    <w:rsid w:val="00686A8B"/>
    <w:rsid w:val="007A3B32"/>
    <w:rsid w:val="00817AE8"/>
    <w:rsid w:val="008771CB"/>
    <w:rsid w:val="00935CC9"/>
    <w:rsid w:val="009865C4"/>
    <w:rsid w:val="009D043A"/>
    <w:rsid w:val="00CA74E4"/>
    <w:rsid w:val="00CC3046"/>
    <w:rsid w:val="00D80715"/>
    <w:rsid w:val="00E27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3FA76A"/>
  <w15:chartTrackingRefBased/>
  <w15:docId w15:val="{7B72C9EA-FDE3-48D9-98BB-ABF2F7A86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3046"/>
    <w:pPr>
      <w:spacing w:before="320" w:after="320" w:line="360" w:lineRule="auto"/>
      <w:jc w:val="both"/>
    </w:pPr>
    <w:rPr>
      <w:sz w:val="24"/>
    </w:rPr>
  </w:style>
  <w:style w:type="paragraph" w:styleId="Heading1">
    <w:name w:val="heading 1"/>
    <w:basedOn w:val="Normal"/>
    <w:next w:val="Normal"/>
    <w:link w:val="Heading1Char"/>
    <w:qFormat/>
    <w:rsid w:val="004E10C3"/>
    <w:pPr>
      <w:keepNext/>
      <w:keepLines/>
      <w:numPr>
        <w:numId w:val="2"/>
      </w:numPr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Heading1"/>
    <w:next w:val="Normal"/>
    <w:link w:val="Heading2Char"/>
    <w:autoRedefine/>
    <w:qFormat/>
    <w:rsid w:val="00935CC9"/>
    <w:pPr>
      <w:numPr>
        <w:ilvl w:val="1"/>
      </w:numPr>
      <w:tabs>
        <w:tab w:val="left" w:pos="567"/>
      </w:tabs>
      <w:spacing w:before="200"/>
      <w:outlineLvl w:val="1"/>
    </w:pPr>
    <w:rPr>
      <w:rFonts w:asciiTheme="majorBidi" w:hAnsiTheme="majorBidi"/>
      <w:color w:val="000000" w:themeColor="text1"/>
      <w:szCs w:val="26"/>
      <w:lang w:val="en-AU" w:eastAsia="en-US"/>
    </w:rPr>
  </w:style>
  <w:style w:type="paragraph" w:styleId="Heading3">
    <w:name w:val="heading 3"/>
    <w:basedOn w:val="Heading2"/>
    <w:next w:val="Normal"/>
    <w:link w:val="Heading3Char"/>
    <w:autoRedefine/>
    <w:uiPriority w:val="9"/>
    <w:unhideWhenUsed/>
    <w:qFormat/>
    <w:rsid w:val="004E10C3"/>
    <w:pPr>
      <w:numPr>
        <w:ilvl w:val="2"/>
        <w:numId w:val="3"/>
      </w:numPr>
      <w:spacing w:before="40"/>
      <w:outlineLvl w:val="2"/>
    </w:pPr>
    <w:rPr>
      <w:rFonts w:asciiTheme="majorHAnsi" w:hAnsiTheme="majorHAnsi"/>
      <w:b/>
      <w:color w:val="auto"/>
      <w:sz w:val="24"/>
      <w:szCs w:val="24"/>
    </w:rPr>
  </w:style>
  <w:style w:type="paragraph" w:styleId="Heading4">
    <w:name w:val="heading 4"/>
    <w:basedOn w:val="Index3"/>
    <w:next w:val="Normal"/>
    <w:link w:val="Heading4Char"/>
    <w:autoRedefine/>
    <w:uiPriority w:val="9"/>
    <w:unhideWhenUsed/>
    <w:qFormat/>
    <w:rsid w:val="00CC3046"/>
    <w:pPr>
      <w:keepNext/>
      <w:keepLines/>
      <w:spacing w:before="40"/>
      <w:ind w:left="864" w:hanging="864"/>
      <w:outlineLvl w:val="3"/>
    </w:pPr>
    <w:rPr>
      <w:rFonts w:asciiTheme="majorHAnsi" w:eastAsiaTheme="majorEastAsia" w:hAnsiTheme="majorHAnsi" w:cstheme="majorBidi"/>
      <w:b/>
      <w:iCs/>
      <w:szCs w:val="24"/>
      <w:lang w:val="en-AU"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C3046"/>
    <w:pPr>
      <w:keepNext/>
      <w:keepLines/>
      <w:spacing w:before="40" w:after="0"/>
      <w:ind w:left="1008" w:hanging="1008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C3046"/>
    <w:pPr>
      <w:keepNext/>
      <w:keepLines/>
      <w:spacing w:before="40" w:after="0"/>
      <w:ind w:left="1152" w:hanging="1152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C3046"/>
    <w:pPr>
      <w:keepNext/>
      <w:keepLines/>
      <w:spacing w:before="40" w:after="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C3046"/>
    <w:pPr>
      <w:keepNext/>
      <w:keepLines/>
      <w:spacing w:before="40" w:after="0"/>
      <w:ind w:left="1440" w:hanging="14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C3046"/>
    <w:pPr>
      <w:keepNext/>
      <w:keepLines/>
      <w:spacing w:before="4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935CC9"/>
    <w:rPr>
      <w:rFonts w:asciiTheme="majorBidi" w:eastAsiaTheme="majorEastAsia" w:hAnsiTheme="majorBidi" w:cstheme="majorBidi"/>
      <w:color w:val="000000" w:themeColor="text1"/>
      <w:sz w:val="32"/>
      <w:szCs w:val="26"/>
      <w:lang w:val="en-AU"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4E10C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4E10C3"/>
    <w:rPr>
      <w:rFonts w:asciiTheme="majorHAnsi" w:eastAsiaTheme="majorEastAsia" w:hAnsiTheme="majorHAnsi" w:cstheme="majorBidi"/>
      <w:b/>
      <w:sz w:val="24"/>
      <w:szCs w:val="24"/>
      <w:lang w:val="en-AU" w:eastAsia="en-US"/>
    </w:rPr>
  </w:style>
  <w:style w:type="paragraph" w:styleId="ListParagraph">
    <w:name w:val="List Paragraph"/>
    <w:basedOn w:val="Normal"/>
    <w:autoRedefine/>
    <w:uiPriority w:val="34"/>
    <w:qFormat/>
    <w:rsid w:val="002E6925"/>
    <w:pPr>
      <w:spacing w:after="0"/>
      <w:contextualSpacing/>
      <w:jc w:val="center"/>
    </w:pPr>
    <w:rPr>
      <w:rFonts w:asciiTheme="majorBidi" w:eastAsiaTheme="minorHAnsi" w:hAnsiTheme="majorBidi"/>
      <w:b/>
      <w:sz w:val="52"/>
      <w:szCs w:val="32"/>
      <w:lang w:val="en-AU" w:eastAsia="en-US"/>
    </w:rPr>
  </w:style>
  <w:style w:type="character" w:customStyle="1" w:styleId="Heading4Char">
    <w:name w:val="Heading 4 Char"/>
    <w:basedOn w:val="DefaultParagraphFont"/>
    <w:link w:val="Heading4"/>
    <w:uiPriority w:val="9"/>
    <w:rsid w:val="00CC3046"/>
    <w:rPr>
      <w:rFonts w:asciiTheme="majorHAnsi" w:eastAsiaTheme="majorEastAsia" w:hAnsiTheme="majorHAnsi" w:cstheme="majorBidi"/>
      <w:b/>
      <w:iCs/>
      <w:sz w:val="24"/>
      <w:szCs w:val="24"/>
      <w:lang w:val="en-AU"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C3046"/>
    <w:rPr>
      <w:rFonts w:asciiTheme="majorHAnsi" w:eastAsiaTheme="majorEastAsia" w:hAnsiTheme="majorHAnsi" w:cstheme="majorBidi"/>
      <w:color w:val="365F91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C3046"/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C3046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C304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C304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Index3">
    <w:name w:val="index 3"/>
    <w:basedOn w:val="Normal"/>
    <w:next w:val="Normal"/>
    <w:autoRedefine/>
    <w:uiPriority w:val="99"/>
    <w:semiHidden/>
    <w:unhideWhenUsed/>
    <w:rsid w:val="00CC3046"/>
    <w:pPr>
      <w:spacing w:before="0" w:after="0" w:line="240" w:lineRule="auto"/>
      <w:ind w:left="720" w:hanging="240"/>
    </w:pPr>
  </w:style>
  <w:style w:type="paragraph" w:styleId="Caption">
    <w:name w:val="caption"/>
    <w:basedOn w:val="Normal"/>
    <w:next w:val="Normal"/>
    <w:uiPriority w:val="35"/>
    <w:unhideWhenUsed/>
    <w:qFormat/>
    <w:rsid w:val="00CC3046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817AE8"/>
    <w:pPr>
      <w:spacing w:before="0"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17A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EndNoteBibliographyTitle">
    <w:name w:val="EndNote Bibliography Title"/>
    <w:basedOn w:val="Normal"/>
    <w:link w:val="EndNoteBibliographyTitleChar"/>
    <w:rsid w:val="00CA74E4"/>
    <w:pPr>
      <w:spacing w:after="0"/>
      <w:jc w:val="center"/>
    </w:pPr>
    <w:rPr>
      <w:rFonts w:ascii="Calibri" w:hAnsi="Calibri" w:cs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CA74E4"/>
    <w:rPr>
      <w:rFonts w:ascii="Calibri" w:hAnsi="Calibri" w:cs="Calibri"/>
      <w:noProof/>
      <w:sz w:val="24"/>
    </w:rPr>
  </w:style>
  <w:style w:type="paragraph" w:customStyle="1" w:styleId="EndNoteBibliography">
    <w:name w:val="EndNote Bibliography"/>
    <w:basedOn w:val="Normal"/>
    <w:link w:val="EndNoteBibliographyChar"/>
    <w:rsid w:val="00CA74E4"/>
    <w:pPr>
      <w:spacing w:line="240" w:lineRule="auto"/>
    </w:pPr>
    <w:rPr>
      <w:rFonts w:ascii="Calibri" w:hAnsi="Calibri" w:cs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CA74E4"/>
    <w:rPr>
      <w:rFonts w:ascii="Calibri" w:hAnsi="Calibri" w:cs="Calibri"/>
      <w:noProof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SeventhEditionOfficeOnline.xsl" StyleName="MLA" Version="7"/>
</file>

<file path=customXml/itemProps1.xml><?xml version="1.0" encoding="utf-8"?>
<ds:datastoreItem xmlns:ds="http://schemas.openxmlformats.org/officeDocument/2006/customXml" ds:itemID="{ECEFEC49-8CA0-4CEE-8DF7-5B2C5E12C2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7</Pages>
  <Words>1851</Words>
  <Characters>10553</Characters>
  <Application>Microsoft Office Word</Application>
  <DocSecurity>0</DocSecurity>
  <Lines>87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Waikato</Company>
  <LinksUpToDate>false</LinksUpToDate>
  <CharactersWithSpaces>12380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Patty</dc:creator>
  <cp:keywords/>
  <dc:description/>
  <cp:lastModifiedBy>Olivia Patty</cp:lastModifiedBy>
  <cp:revision>7</cp:revision>
  <dcterms:created xsi:type="dcterms:W3CDTF">2020-08-08T05:07:00Z</dcterms:created>
  <dcterms:modified xsi:type="dcterms:W3CDTF">2020-10-25T05:54:00Z</dcterms:modified>
</cp:coreProperties>
</file>